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Lisez et répondez aux questions suivantes.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Sept-heures du matin dans un train de banlieue....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Il y a du monde mais les voyageurs ont presque tous trouvé une place assise .Certains somnolent dans l'espoir de complétez leur nuit , d'autres   sont plongés dans leurs réflexions ou dans la lectue d'un livre pour certains , ou de leur journal pour la plupart.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C'est ainsi que les banlieusards ,surtout en IIe-de-France, utilisent le temps qu'ils passent dans les transports .Et les Français en général ,sont-ils  de gros consommateurs de journaux?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A peine la moitié d'entre eux se consacre de façon suivie à la lecture d'un quotidien : beaucoup moins que les européens du Nord et un peu plus que ceux du Sud.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Ce bilan très moyen explique que me^me des titres prestigieux comme le Monde ,Libération ou le Figaro connaissent des difficultés financières et que d'autres cessent de parai^tre.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Mais le sport est toujours gagnant et l'Equipe reste le premier quotidien à diffusion nationale.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S'ils boudent les quotidiens ,en revanche 90% des français lisent plus ou moins régulièrement des magazines de santé ou de loisirs et les hebdomadaires télé témoignent par leur tirage stable ou en progression , de la vitalité du secteur.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a)Quel secteur de la presse française ne connai^t pas de baisse dans la vente 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b)Quel est le premier quotidien national ? Pourquoi?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c)Par rapport aux autres européens les français lisent-ils beaucoup de journaux?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d)Comment vous informez-vous? Est-ce-que vous lisez des journaux? Lesquels?(Répondez en 10 lignes)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