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D333" w14:textId="1B99A03B" w:rsidR="006273E6" w:rsidRPr="006273E6" w:rsidRDefault="006273E6" w:rsidP="006273E6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3E6">
        <w:rPr>
          <w:rFonts w:ascii="Times New Roman" w:hAnsi="Times New Roman" w:cs="Times New Roman"/>
          <w:b/>
          <w:bCs/>
          <w:sz w:val="32"/>
          <w:szCs w:val="32"/>
        </w:rPr>
        <w:t>Programme de Révisions II° Année</w:t>
      </w:r>
    </w:p>
    <w:p w14:paraId="49E7E5FC" w14:textId="0A6AE249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3E6">
        <w:rPr>
          <w:rFonts w:ascii="Times New Roman" w:hAnsi="Times New Roman" w:cs="Times New Roman"/>
          <w:sz w:val="24"/>
          <w:szCs w:val="24"/>
          <w:u w:val="single"/>
        </w:rPr>
        <w:t>Grammaire</w:t>
      </w:r>
    </w:p>
    <w:p w14:paraId="606ECD43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Reprise de tous les temps verbaux à partir du présent</w:t>
      </w:r>
    </w:p>
    <w:p w14:paraId="15C55F94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Approfondir l'inversion pour la phrase interrogative</w:t>
      </w:r>
    </w:p>
    <w:p w14:paraId="4FF07B3E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Pronoms personnels compléments double</w:t>
      </w:r>
    </w:p>
    <w:p w14:paraId="57B4E87E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Pronoms relatifs simples (à réviser) et composés</w:t>
      </w:r>
    </w:p>
    <w:p w14:paraId="524803FC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Maîtrise du subjonctif</w:t>
      </w:r>
    </w:p>
    <w:p w14:paraId="2FCDCF10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Adjectifs et pronoms indéfinis</w:t>
      </w:r>
    </w:p>
    <w:p w14:paraId="058D5D9A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Gérondif et participe présent</w:t>
      </w:r>
    </w:p>
    <w:p w14:paraId="1B4C86AF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Accord du participe passé avec avoir et avec les verbes pronominaux</w:t>
      </w:r>
    </w:p>
    <w:p w14:paraId="61D7A1B8" w14:textId="616B3075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Apprendre à reconnaître le passé simple + apprendre les verbes les plus utilisés (avoir, aller, être, etc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273E6">
        <w:rPr>
          <w:rFonts w:ascii="Times New Roman" w:hAnsi="Times New Roman" w:cs="Times New Roman"/>
          <w:sz w:val="24"/>
          <w:szCs w:val="24"/>
        </w:rPr>
        <w:t>)</w:t>
      </w:r>
    </w:p>
    <w:p w14:paraId="2863E7E3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De la phrase simple à la phrase complexe</w:t>
      </w:r>
    </w:p>
    <w:p w14:paraId="1BC3B35A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Problèmes de syntaxe avec les temps composés (phrase négative, etc.)</w:t>
      </w:r>
    </w:p>
    <w:p w14:paraId="3DC44CE7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Expression du but, de la cause, de la conséquence, de l’opposition/ de la concession, de la condition avec l’hypothèse</w:t>
      </w:r>
    </w:p>
    <w:p w14:paraId="2EC6FF27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3E6">
        <w:rPr>
          <w:rFonts w:ascii="Times New Roman" w:hAnsi="Times New Roman" w:cs="Times New Roman"/>
          <w:sz w:val="24"/>
          <w:szCs w:val="24"/>
        </w:rPr>
        <w:t>L’Interrogation indirecte</w:t>
      </w:r>
    </w:p>
    <w:p w14:paraId="23374EB7" w14:textId="77777777" w:rsidR="006273E6" w:rsidRPr="006273E6" w:rsidRDefault="006273E6" w:rsidP="006273E6">
      <w:pPr>
        <w:spacing w:before="240" w:after="12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  <w:u w:val="single"/>
        </w:rPr>
        <w:t>Thèmes</w:t>
      </w:r>
    </w:p>
    <w:p w14:paraId="1BD38A44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>Vivre en ville ou à la campagne (métropole vs banlieue)</w:t>
      </w:r>
    </w:p>
    <w:p w14:paraId="1D6C06A2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>Vie professionnelle et vie familiale</w:t>
      </w:r>
    </w:p>
    <w:p w14:paraId="5447239B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 xml:space="preserve">Travail et temps libre </w:t>
      </w:r>
    </w:p>
    <w:p w14:paraId="482DD856" w14:textId="679DD725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>Traditions culinaires et nouvelles habitudes alimentaires ; restaurant ou plats “fait maison</w:t>
      </w:r>
      <w:r w:rsidRPr="006273E6">
        <w:rPr>
          <w:rFonts w:ascii="Times New Roman" w:hAnsi="Times New Roman" w:cs="Times New Roman"/>
          <w:color w:val="0070C0"/>
          <w:sz w:val="24"/>
          <w:szCs w:val="24"/>
        </w:rPr>
        <w:t> </w:t>
      </w:r>
      <w:proofErr w:type="gramStart"/>
      <w:r w:rsidRPr="006273E6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6273E6">
        <w:rPr>
          <w:rFonts w:ascii="Times New Roman" w:hAnsi="Times New Roman" w:cs="Times New Roman"/>
          <w:color w:val="0070C0"/>
          <w:sz w:val="24"/>
          <w:szCs w:val="24"/>
        </w:rPr>
        <w:t>?</w:t>
      </w:r>
      <w:proofErr w:type="gramEnd"/>
      <w:r w:rsidRPr="006273E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D12BB8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 xml:space="preserve">Migrations et crise climatique </w:t>
      </w:r>
    </w:p>
    <w:p w14:paraId="7086E877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>Vie privée et vie publique</w:t>
      </w:r>
    </w:p>
    <w:p w14:paraId="02910709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 xml:space="preserve">Voyages </w:t>
      </w:r>
    </w:p>
    <w:p w14:paraId="10C783AB" w14:textId="77777777" w:rsidR="006273E6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 xml:space="preserve">Patrimoine culturel : théâtre, musée ou cinéma ? </w:t>
      </w:r>
    </w:p>
    <w:p w14:paraId="45B177D6" w14:textId="5B1824A6" w:rsidR="00673FEF" w:rsidRPr="006273E6" w:rsidRDefault="006273E6" w:rsidP="006273E6">
      <w:pPr>
        <w:pStyle w:val="Nessunaspaziatura"/>
        <w:spacing w:line="480" w:lineRule="auto"/>
        <w:ind w:left="708"/>
        <w:rPr>
          <w:rFonts w:ascii="Times New Roman" w:hAnsi="Times New Roman" w:cs="Times New Roman"/>
          <w:color w:val="0070C0"/>
          <w:sz w:val="24"/>
          <w:szCs w:val="24"/>
        </w:rPr>
      </w:pPr>
      <w:r w:rsidRPr="006273E6">
        <w:rPr>
          <w:rFonts w:ascii="Times New Roman" w:hAnsi="Times New Roman" w:cs="Times New Roman"/>
          <w:color w:val="0070C0"/>
          <w:sz w:val="24"/>
          <w:szCs w:val="24"/>
        </w:rPr>
        <w:t>La vie universitaire</w:t>
      </w:r>
    </w:p>
    <w:sectPr w:rsidR="00673FEF" w:rsidRPr="006273E6" w:rsidSect="006273E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E6"/>
    <w:rsid w:val="006273E6"/>
    <w:rsid w:val="006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B179"/>
  <w15:chartTrackingRefBased/>
  <w15:docId w15:val="{56004DE0-740D-4A1E-BE8E-7217A53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3E6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73E6"/>
    <w:pPr>
      <w:spacing w:after="0" w:line="240" w:lineRule="auto"/>
    </w:pPr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2023-06-04T08:54:00Z</dcterms:created>
  <dcterms:modified xsi:type="dcterms:W3CDTF">2023-06-04T08:59:00Z</dcterms:modified>
</cp:coreProperties>
</file>