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677" w:rsidRPr="002B727B" w:rsidRDefault="00F05677">
      <w:pPr>
        <w:rPr>
          <w:color w:val="FF0000"/>
          <w:sz w:val="40"/>
          <w:szCs w:val="40"/>
          <w:lang w:val="fr-FR"/>
        </w:rPr>
      </w:pPr>
      <w:r w:rsidRPr="002B727B">
        <w:rPr>
          <w:color w:val="FF0000"/>
          <w:sz w:val="40"/>
          <w:szCs w:val="40"/>
          <w:lang w:val="fr-FR"/>
        </w:rPr>
        <w:t xml:space="preserve">Les inégalités </w:t>
      </w:r>
      <w:r w:rsidR="002B727B" w:rsidRPr="002B727B">
        <w:rPr>
          <w:color w:val="FF0000"/>
          <w:sz w:val="40"/>
          <w:szCs w:val="40"/>
          <w:lang w:val="fr-FR"/>
        </w:rPr>
        <w:t xml:space="preserve">et les discriminations </w:t>
      </w:r>
      <w:r w:rsidRPr="002B727B">
        <w:rPr>
          <w:color w:val="FF0000"/>
          <w:sz w:val="40"/>
          <w:szCs w:val="40"/>
          <w:lang w:val="fr-FR"/>
        </w:rPr>
        <w:t>en France</w:t>
      </w:r>
    </w:p>
    <w:p w:rsidR="00F57BF2" w:rsidRPr="00861346" w:rsidRDefault="00224761" w:rsidP="002B727B">
      <w:pPr>
        <w:pStyle w:val="Paragrafoelenco"/>
        <w:numPr>
          <w:ilvl w:val="0"/>
          <w:numId w:val="2"/>
        </w:numPr>
        <w:rPr>
          <w:b/>
          <w:bCs/>
          <w:sz w:val="32"/>
          <w:szCs w:val="32"/>
          <w:lang w:val="fr-FR"/>
        </w:rPr>
      </w:pPr>
      <w:r w:rsidRPr="00861346">
        <w:rPr>
          <w:b/>
          <w:bCs/>
          <w:sz w:val="32"/>
          <w:szCs w:val="32"/>
          <w:lang w:val="fr-FR"/>
        </w:rPr>
        <w:t xml:space="preserve">Les </w:t>
      </w:r>
      <w:r w:rsidR="002B727B" w:rsidRPr="00861346">
        <w:rPr>
          <w:b/>
          <w:bCs/>
          <w:sz w:val="32"/>
          <w:szCs w:val="32"/>
          <w:lang w:val="fr-FR"/>
        </w:rPr>
        <w:t>r</w:t>
      </w:r>
      <w:r w:rsidR="00F57BF2" w:rsidRPr="00861346">
        <w:rPr>
          <w:b/>
          <w:bCs/>
          <w:sz w:val="32"/>
          <w:szCs w:val="32"/>
          <w:lang w:val="fr-FR"/>
        </w:rPr>
        <w:t xml:space="preserve">iches et </w:t>
      </w:r>
      <w:r w:rsidRPr="00861346">
        <w:rPr>
          <w:b/>
          <w:bCs/>
          <w:sz w:val="32"/>
          <w:szCs w:val="32"/>
          <w:lang w:val="fr-FR"/>
        </w:rPr>
        <w:t xml:space="preserve">les </w:t>
      </w:r>
      <w:r w:rsidR="00F57BF2" w:rsidRPr="00861346">
        <w:rPr>
          <w:b/>
          <w:bCs/>
          <w:sz w:val="32"/>
          <w:szCs w:val="32"/>
          <w:lang w:val="fr-FR"/>
        </w:rPr>
        <w:t>pauvres</w:t>
      </w:r>
      <w:r w:rsidR="002B727B" w:rsidRPr="00861346">
        <w:rPr>
          <w:b/>
          <w:bCs/>
          <w:sz w:val="32"/>
          <w:szCs w:val="32"/>
          <w:lang w:val="fr-FR"/>
        </w:rPr>
        <w:t xml:space="preserve">- </w:t>
      </w:r>
    </w:p>
    <w:p w:rsidR="00224761" w:rsidRPr="002B727B" w:rsidRDefault="00224761" w:rsidP="002B727B">
      <w:pPr>
        <w:ind w:left="720"/>
        <w:rPr>
          <w:lang w:val="fr-FR"/>
        </w:rPr>
      </w:pPr>
      <w:r w:rsidRPr="00224761">
        <w:rPr>
          <w:noProof/>
          <w:lang w:val="fr-FR"/>
        </w:rPr>
        <w:drawing>
          <wp:inline distT="0" distB="0" distL="0" distR="0" wp14:anchorId="5434EDDD" wp14:editId="3C0C6AA4">
            <wp:extent cx="2143125" cy="1344364"/>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68979" cy="1360582"/>
                    </a:xfrm>
                    <a:prstGeom prst="rect">
                      <a:avLst/>
                    </a:prstGeom>
                  </pic:spPr>
                </pic:pic>
              </a:graphicData>
            </a:graphic>
          </wp:inline>
        </w:drawing>
      </w:r>
    </w:p>
    <w:p w:rsidR="00224761" w:rsidRPr="002B727B" w:rsidRDefault="00224761" w:rsidP="00224761">
      <w:pPr>
        <w:pStyle w:val="Paragrafoelenco"/>
        <w:ind w:left="1080"/>
        <w:rPr>
          <w:rStyle w:val="Enfasigrassetto"/>
          <w:rFonts w:ascii="Cambria" w:hAnsi="Cambria" w:cs="Arial"/>
          <w:b w:val="0"/>
          <w:bCs w:val="0"/>
          <w:color w:val="000000"/>
          <w:sz w:val="24"/>
          <w:szCs w:val="24"/>
          <w:shd w:val="clear" w:color="auto" w:fill="FDFDFD"/>
          <w:lang w:val="fr-FR"/>
        </w:rPr>
      </w:pPr>
      <w:r w:rsidRPr="002B727B">
        <w:rPr>
          <w:rStyle w:val="Enfasigrassetto"/>
          <w:rFonts w:ascii="Cambria" w:hAnsi="Cambria" w:cs="Arial"/>
          <w:b w:val="0"/>
          <w:bCs w:val="0"/>
          <w:color w:val="000000"/>
          <w:sz w:val="24"/>
          <w:szCs w:val="24"/>
          <w:shd w:val="clear" w:color="auto" w:fill="FDFDFD"/>
          <w:lang w:val="fr-FR"/>
        </w:rPr>
        <w:t>Cinq millions de personnes vivent sous le seuil de pauvreté</w:t>
      </w:r>
    </w:p>
    <w:p w:rsidR="0063694E" w:rsidRPr="002B727B" w:rsidRDefault="0063694E" w:rsidP="00224761">
      <w:pPr>
        <w:pStyle w:val="Paragrafoelenco"/>
        <w:ind w:left="1080"/>
        <w:rPr>
          <w:rStyle w:val="Enfasigrassetto"/>
          <w:rFonts w:ascii="Cambria" w:hAnsi="Cambria" w:cs="Arial"/>
          <w:b w:val="0"/>
          <w:bCs w:val="0"/>
          <w:color w:val="000000"/>
          <w:sz w:val="24"/>
          <w:szCs w:val="24"/>
          <w:shd w:val="clear" w:color="auto" w:fill="FDFDFD"/>
          <w:lang w:val="fr-FR"/>
        </w:rPr>
      </w:pPr>
      <w:r w:rsidRPr="002B727B">
        <w:rPr>
          <w:rStyle w:val="Enfasigrassetto"/>
          <w:rFonts w:ascii="Cambria" w:hAnsi="Cambria" w:cs="Arial"/>
          <w:b w:val="0"/>
          <w:bCs w:val="0"/>
          <w:color w:val="000000"/>
          <w:sz w:val="24"/>
          <w:szCs w:val="24"/>
          <w:shd w:val="clear" w:color="auto" w:fill="FDFDFD"/>
          <w:lang w:val="fr-FR"/>
        </w:rPr>
        <w:t>La pauvreté augmente</w:t>
      </w:r>
    </w:p>
    <w:p w:rsidR="0063694E" w:rsidRDefault="0063694E" w:rsidP="00224761">
      <w:pPr>
        <w:pStyle w:val="Paragrafoelenco"/>
        <w:ind w:left="1080"/>
        <w:rPr>
          <w:rStyle w:val="Enfasigrassetto"/>
          <w:rFonts w:ascii="Arial" w:hAnsi="Arial" w:cs="Arial"/>
          <w:color w:val="000000"/>
          <w:sz w:val="27"/>
          <w:szCs w:val="27"/>
          <w:shd w:val="clear" w:color="auto" w:fill="FDFDFD"/>
          <w:lang w:val="fr-FR"/>
        </w:rPr>
      </w:pPr>
      <w:r w:rsidRPr="0063694E">
        <w:rPr>
          <w:rStyle w:val="Enfasigrassetto"/>
          <w:rFonts w:ascii="Arial" w:hAnsi="Arial" w:cs="Arial"/>
          <w:noProof/>
          <w:color w:val="000000"/>
          <w:sz w:val="27"/>
          <w:szCs w:val="27"/>
          <w:shd w:val="clear" w:color="auto" w:fill="FDFDFD"/>
          <w:lang w:val="fr-FR"/>
        </w:rPr>
        <w:drawing>
          <wp:inline distT="0" distB="0" distL="0" distR="0" wp14:anchorId="7E8D1294" wp14:editId="6FA60916">
            <wp:extent cx="5943600" cy="895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7968" r="2884" b="5063"/>
                    <a:stretch/>
                  </pic:blipFill>
                  <pic:spPr bwMode="auto">
                    <a:xfrm>
                      <a:off x="0" y="0"/>
                      <a:ext cx="5943600" cy="895350"/>
                    </a:xfrm>
                    <a:prstGeom prst="rect">
                      <a:avLst/>
                    </a:prstGeom>
                    <a:ln>
                      <a:noFill/>
                    </a:ln>
                    <a:extLst>
                      <a:ext uri="{53640926-AAD7-44D8-BBD7-CCE9431645EC}">
                        <a14:shadowObscured xmlns:a14="http://schemas.microsoft.com/office/drawing/2010/main"/>
                      </a:ext>
                    </a:extLst>
                  </pic:spPr>
                </pic:pic>
              </a:graphicData>
            </a:graphic>
          </wp:inline>
        </w:drawing>
      </w:r>
    </w:p>
    <w:p w:rsidR="00DA3D81" w:rsidRDefault="00DA3D81" w:rsidP="00224761">
      <w:pPr>
        <w:pStyle w:val="Paragrafoelenco"/>
        <w:ind w:left="1080"/>
        <w:rPr>
          <w:lang w:val="fr-FR"/>
        </w:rPr>
      </w:pPr>
      <w:r w:rsidRPr="00DA3D81">
        <w:rPr>
          <w:rStyle w:val="Enfasigrassetto"/>
          <w:rFonts w:ascii="Arial" w:hAnsi="Arial" w:cs="Arial"/>
          <w:color w:val="000000"/>
          <w:sz w:val="27"/>
          <w:szCs w:val="27"/>
          <w:shd w:val="clear" w:color="auto" w:fill="FDFDFD"/>
          <w:lang w:val="fr-FR"/>
        </w:rPr>
        <w:drawing>
          <wp:inline distT="0" distB="0" distL="0" distR="0" wp14:anchorId="6F50CCF4" wp14:editId="18F3AB6A">
            <wp:extent cx="3035536" cy="17907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5937" r="7505" b="10001"/>
                    <a:stretch/>
                  </pic:blipFill>
                  <pic:spPr bwMode="auto">
                    <a:xfrm>
                      <a:off x="0" y="0"/>
                      <a:ext cx="3060852" cy="1805634"/>
                    </a:xfrm>
                    <a:prstGeom prst="rect">
                      <a:avLst/>
                    </a:prstGeom>
                    <a:ln>
                      <a:noFill/>
                    </a:ln>
                    <a:extLst>
                      <a:ext uri="{53640926-AAD7-44D8-BBD7-CCE9431645EC}">
                        <a14:shadowObscured xmlns:a14="http://schemas.microsoft.com/office/drawing/2010/main"/>
                      </a:ext>
                    </a:extLst>
                  </pic:spPr>
                </pic:pic>
              </a:graphicData>
            </a:graphic>
          </wp:inline>
        </w:drawing>
      </w:r>
    </w:p>
    <w:p w:rsidR="00DA3D81" w:rsidRDefault="00DA3D81" w:rsidP="00224761">
      <w:pPr>
        <w:pStyle w:val="Paragrafoelenco"/>
        <w:ind w:left="1080"/>
        <w:rPr>
          <w:lang w:val="fr-FR"/>
        </w:rPr>
      </w:pPr>
      <w:r w:rsidRPr="00DA3D81">
        <w:rPr>
          <w:lang w:val="fr-FR"/>
        </w:rPr>
        <w:t>Les inégalités d’accès aux études supérieures ont augmenté.</w:t>
      </w:r>
    </w:p>
    <w:p w:rsidR="00DA3D81" w:rsidRDefault="00DA3D81" w:rsidP="00224761">
      <w:pPr>
        <w:pStyle w:val="Paragrafoelenco"/>
        <w:ind w:left="1080"/>
        <w:rPr>
          <w:rStyle w:val="Enfasigrassetto"/>
          <w:rFonts w:ascii="Arial" w:hAnsi="Arial" w:cs="Arial"/>
          <w:color w:val="000000"/>
          <w:sz w:val="27"/>
          <w:szCs w:val="27"/>
          <w:shd w:val="clear" w:color="auto" w:fill="FDFDFD"/>
          <w:lang w:val="fr-FR"/>
        </w:rPr>
      </w:pPr>
    </w:p>
    <w:p w:rsidR="00DA3D81" w:rsidRDefault="00DA3D81" w:rsidP="00224761">
      <w:pPr>
        <w:pStyle w:val="Paragrafoelenco"/>
        <w:ind w:left="1080"/>
        <w:rPr>
          <w:rStyle w:val="Enfasigrassetto"/>
          <w:rFonts w:ascii="Arial" w:hAnsi="Arial" w:cs="Arial"/>
          <w:color w:val="000000"/>
          <w:sz w:val="27"/>
          <w:szCs w:val="27"/>
          <w:shd w:val="clear" w:color="auto" w:fill="FDFDFD"/>
          <w:lang w:val="fr-FR"/>
        </w:rPr>
      </w:pPr>
      <w:r w:rsidRPr="00DA3D81">
        <w:rPr>
          <w:rStyle w:val="Enfasigrassetto"/>
          <w:rFonts w:ascii="Arial" w:hAnsi="Arial" w:cs="Arial"/>
          <w:color w:val="000000"/>
          <w:sz w:val="27"/>
          <w:szCs w:val="27"/>
          <w:shd w:val="clear" w:color="auto" w:fill="FDFDFD"/>
          <w:lang w:val="fr-FR"/>
        </w:rPr>
        <w:drawing>
          <wp:inline distT="0" distB="0" distL="0" distR="0" wp14:anchorId="2D626D03" wp14:editId="335AA65E">
            <wp:extent cx="3438525" cy="2164107"/>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6414" cy="2181659"/>
                    </a:xfrm>
                    <a:prstGeom prst="rect">
                      <a:avLst/>
                    </a:prstGeom>
                  </pic:spPr>
                </pic:pic>
              </a:graphicData>
            </a:graphic>
          </wp:inline>
        </w:drawing>
      </w:r>
    </w:p>
    <w:p w:rsidR="00122D61" w:rsidRDefault="00122D61" w:rsidP="00224761">
      <w:pPr>
        <w:pStyle w:val="Paragrafoelenco"/>
        <w:ind w:left="1080"/>
        <w:rPr>
          <w:rFonts w:ascii="Arial" w:hAnsi="Arial" w:cs="Arial"/>
          <w:color w:val="000000"/>
          <w:sz w:val="21"/>
          <w:szCs w:val="21"/>
          <w:shd w:val="clear" w:color="auto" w:fill="FDFDFD"/>
        </w:rPr>
      </w:pPr>
      <w:proofErr w:type="gramStart"/>
      <w:r w:rsidRPr="00122D61">
        <w:rPr>
          <w:rFonts w:ascii="Arial" w:hAnsi="Arial" w:cs="Arial"/>
          <w:color w:val="000000"/>
          <w:sz w:val="21"/>
          <w:szCs w:val="21"/>
          <w:shd w:val="clear" w:color="auto" w:fill="FDFDFD"/>
          <w:lang w:val="fr-FR"/>
        </w:rPr>
        <w:t>sans</w:t>
      </w:r>
      <w:proofErr w:type="gramEnd"/>
      <w:r w:rsidRPr="00122D61">
        <w:rPr>
          <w:rFonts w:ascii="Arial" w:hAnsi="Arial" w:cs="Arial"/>
          <w:color w:val="000000"/>
          <w:sz w:val="21"/>
          <w:szCs w:val="21"/>
          <w:shd w:val="clear" w:color="auto" w:fill="FDFDFD"/>
          <w:lang w:val="fr-FR"/>
        </w:rPr>
        <w:t xml:space="preserve"> les impôts et les prestations sociales, 25 % des personnes seules vivraient sous le seuil de pauvreté. </w:t>
      </w:r>
      <w:proofErr w:type="spellStart"/>
      <w:r>
        <w:rPr>
          <w:rFonts w:ascii="Arial" w:hAnsi="Arial" w:cs="Arial"/>
          <w:color w:val="000000"/>
          <w:sz w:val="21"/>
          <w:szCs w:val="21"/>
          <w:shd w:val="clear" w:color="auto" w:fill="FDFDFD"/>
        </w:rPr>
        <w:t>Après</w:t>
      </w:r>
      <w:proofErr w:type="spellEnd"/>
      <w:r>
        <w:rPr>
          <w:rFonts w:ascii="Arial" w:hAnsi="Arial" w:cs="Arial"/>
          <w:color w:val="000000"/>
          <w:sz w:val="21"/>
          <w:szCs w:val="21"/>
          <w:shd w:val="clear" w:color="auto" w:fill="FDFDFD"/>
        </w:rPr>
        <w:t xml:space="preserve"> </w:t>
      </w:r>
      <w:proofErr w:type="spellStart"/>
      <w:r>
        <w:rPr>
          <w:rFonts w:ascii="Arial" w:hAnsi="Arial" w:cs="Arial"/>
          <w:color w:val="000000"/>
          <w:sz w:val="21"/>
          <w:szCs w:val="21"/>
          <w:shd w:val="clear" w:color="auto" w:fill="FDFDFD"/>
        </w:rPr>
        <w:t>redistribution</w:t>
      </w:r>
      <w:proofErr w:type="spellEnd"/>
      <w:r>
        <w:rPr>
          <w:rFonts w:ascii="Arial" w:hAnsi="Arial" w:cs="Arial"/>
          <w:color w:val="000000"/>
          <w:sz w:val="21"/>
          <w:szCs w:val="21"/>
          <w:shd w:val="clear" w:color="auto" w:fill="FDFDFD"/>
        </w:rPr>
        <w:t>, 19,2 % d’</w:t>
      </w:r>
      <w:proofErr w:type="spellStart"/>
      <w:r>
        <w:rPr>
          <w:rFonts w:ascii="Arial" w:hAnsi="Arial" w:cs="Arial"/>
          <w:color w:val="000000"/>
          <w:sz w:val="21"/>
          <w:szCs w:val="21"/>
          <w:shd w:val="clear" w:color="auto" w:fill="FDFDFD"/>
        </w:rPr>
        <w:t>entre</w:t>
      </w:r>
      <w:proofErr w:type="spellEnd"/>
      <w:r>
        <w:rPr>
          <w:rFonts w:ascii="Arial" w:hAnsi="Arial" w:cs="Arial"/>
          <w:color w:val="000000"/>
          <w:sz w:val="21"/>
          <w:szCs w:val="21"/>
          <w:shd w:val="clear" w:color="auto" w:fill="FDFDFD"/>
        </w:rPr>
        <w:t xml:space="preserve"> </w:t>
      </w:r>
      <w:proofErr w:type="spellStart"/>
      <w:r>
        <w:rPr>
          <w:rFonts w:ascii="Arial" w:hAnsi="Arial" w:cs="Arial"/>
          <w:color w:val="000000"/>
          <w:sz w:val="21"/>
          <w:szCs w:val="21"/>
          <w:shd w:val="clear" w:color="auto" w:fill="FDFDFD"/>
        </w:rPr>
        <w:t>elles</w:t>
      </w:r>
      <w:proofErr w:type="spellEnd"/>
      <w:r>
        <w:rPr>
          <w:rFonts w:ascii="Arial" w:hAnsi="Arial" w:cs="Arial"/>
          <w:color w:val="000000"/>
          <w:sz w:val="21"/>
          <w:szCs w:val="21"/>
          <w:shd w:val="clear" w:color="auto" w:fill="FDFDFD"/>
        </w:rPr>
        <w:t xml:space="preserve"> </w:t>
      </w:r>
      <w:proofErr w:type="spellStart"/>
      <w:r>
        <w:rPr>
          <w:rFonts w:ascii="Arial" w:hAnsi="Arial" w:cs="Arial"/>
          <w:color w:val="000000"/>
          <w:sz w:val="21"/>
          <w:szCs w:val="21"/>
          <w:shd w:val="clear" w:color="auto" w:fill="FDFDFD"/>
        </w:rPr>
        <w:t>sont</w:t>
      </w:r>
      <w:proofErr w:type="spellEnd"/>
      <w:r>
        <w:rPr>
          <w:rFonts w:ascii="Arial" w:hAnsi="Arial" w:cs="Arial"/>
          <w:color w:val="000000"/>
          <w:sz w:val="21"/>
          <w:szCs w:val="21"/>
          <w:shd w:val="clear" w:color="auto" w:fill="FDFDFD"/>
        </w:rPr>
        <w:t xml:space="preserve"> </w:t>
      </w:r>
      <w:proofErr w:type="spellStart"/>
      <w:r>
        <w:rPr>
          <w:rFonts w:ascii="Arial" w:hAnsi="Arial" w:cs="Arial"/>
          <w:color w:val="000000"/>
          <w:sz w:val="21"/>
          <w:szCs w:val="21"/>
          <w:shd w:val="clear" w:color="auto" w:fill="FDFDFD"/>
        </w:rPr>
        <w:t>pauvres</w:t>
      </w:r>
      <w:proofErr w:type="spellEnd"/>
      <w:r>
        <w:rPr>
          <w:rFonts w:ascii="Arial" w:hAnsi="Arial" w:cs="Arial"/>
          <w:color w:val="000000"/>
          <w:sz w:val="21"/>
          <w:szCs w:val="21"/>
          <w:shd w:val="clear" w:color="auto" w:fill="FDFDFD"/>
        </w:rPr>
        <w:t>.</w:t>
      </w:r>
    </w:p>
    <w:p w:rsidR="00122D61" w:rsidRDefault="00122D61" w:rsidP="00224761">
      <w:pPr>
        <w:pStyle w:val="Paragrafoelenco"/>
        <w:ind w:left="1080"/>
        <w:rPr>
          <w:rStyle w:val="Enfasigrassetto"/>
          <w:rFonts w:ascii="Arial" w:hAnsi="Arial" w:cs="Arial"/>
          <w:color w:val="000000"/>
          <w:sz w:val="27"/>
          <w:szCs w:val="27"/>
          <w:shd w:val="clear" w:color="auto" w:fill="FDFDFD"/>
          <w:lang w:val="fr-FR"/>
        </w:rPr>
      </w:pPr>
    </w:p>
    <w:p w:rsidR="00122D61" w:rsidRDefault="00122D61" w:rsidP="00224761">
      <w:pPr>
        <w:pStyle w:val="Paragrafoelenco"/>
        <w:ind w:left="1080"/>
        <w:rPr>
          <w:rStyle w:val="Enfasigrassetto"/>
          <w:rFonts w:ascii="Arial" w:hAnsi="Arial" w:cs="Arial"/>
          <w:color w:val="000000"/>
          <w:sz w:val="27"/>
          <w:szCs w:val="27"/>
          <w:shd w:val="clear" w:color="auto" w:fill="FDFDFD"/>
          <w:lang w:val="fr-FR"/>
        </w:rPr>
      </w:pPr>
      <w:hyperlink r:id="rId9" w:history="1">
        <w:r w:rsidRPr="007A5A77">
          <w:rPr>
            <w:rStyle w:val="Collegamentoipertestuale"/>
            <w:rFonts w:ascii="Arial" w:hAnsi="Arial" w:cs="Arial"/>
            <w:sz w:val="27"/>
            <w:szCs w:val="27"/>
            <w:shd w:val="clear" w:color="auto" w:fill="FDFDFD"/>
            <w:lang w:val="fr-FR"/>
          </w:rPr>
          <w:t>https://www.marianne.net/societe/12-millions-de-pauvres-et-les-aides-sociales-a-l-arret-les-sombres-previsions-de-la-precarite-sociale-en-france</w:t>
        </w:r>
      </w:hyperlink>
    </w:p>
    <w:p w:rsidR="00122D61" w:rsidRDefault="00122D61" w:rsidP="00224761">
      <w:pPr>
        <w:pStyle w:val="Paragrafoelenco"/>
        <w:ind w:left="1080"/>
        <w:rPr>
          <w:rStyle w:val="Enfasigrassetto"/>
          <w:rFonts w:ascii="Arial" w:hAnsi="Arial" w:cs="Arial"/>
          <w:color w:val="000000"/>
          <w:sz w:val="27"/>
          <w:szCs w:val="27"/>
          <w:shd w:val="clear" w:color="auto" w:fill="FDFDFD"/>
          <w:lang w:val="fr-FR"/>
        </w:rPr>
      </w:pPr>
    </w:p>
    <w:p w:rsidR="00122D61" w:rsidRPr="00263057" w:rsidRDefault="00122D61"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r w:rsidRPr="00122D61">
        <w:rPr>
          <w:rFonts w:ascii="Georgia" w:eastAsia="Times New Roman" w:hAnsi="Georgia" w:cs="Times New Roman"/>
          <w:b/>
          <w:bCs/>
          <w:color w:val="2A303C"/>
          <w:kern w:val="36"/>
          <w:sz w:val="24"/>
          <w:szCs w:val="24"/>
          <w:lang w:val="fr-FR"/>
        </w:rPr>
        <w:t>Plus de 13 000 millionnaires ne paient aucun impôt sur le revenu, selon une note inédite de Bercy</w:t>
      </w:r>
      <w:r w:rsidRPr="00263057">
        <w:rPr>
          <w:rFonts w:ascii="Georgia" w:eastAsia="Times New Roman" w:hAnsi="Georgia" w:cs="Times New Roman"/>
          <w:b/>
          <w:bCs/>
          <w:color w:val="2A303C"/>
          <w:kern w:val="36"/>
          <w:sz w:val="24"/>
          <w:szCs w:val="24"/>
          <w:lang w:val="fr-FR"/>
        </w:rPr>
        <w:t>. Le Monde</w:t>
      </w:r>
    </w:p>
    <w:p w:rsidR="00122D61" w:rsidRPr="00263057" w:rsidRDefault="00122D61"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p>
    <w:p w:rsidR="00122D61" w:rsidRPr="00263057" w:rsidRDefault="00122D61"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proofErr w:type="gramStart"/>
      <w:r w:rsidRPr="00263057">
        <w:rPr>
          <w:rFonts w:ascii="Georgia" w:eastAsia="Times New Roman" w:hAnsi="Georgia" w:cs="Times New Roman"/>
          <w:b/>
          <w:bCs/>
          <w:color w:val="2A303C"/>
          <w:kern w:val="36"/>
          <w:sz w:val="24"/>
          <w:szCs w:val="24"/>
          <w:lang w:val="fr-FR"/>
        </w:rPr>
        <w:t>sans</w:t>
      </w:r>
      <w:proofErr w:type="gramEnd"/>
      <w:r w:rsidRPr="00263057">
        <w:rPr>
          <w:rFonts w:ascii="Georgia" w:eastAsia="Times New Roman" w:hAnsi="Georgia" w:cs="Times New Roman"/>
          <w:b/>
          <w:bCs/>
          <w:color w:val="2A303C"/>
          <w:kern w:val="36"/>
          <w:sz w:val="24"/>
          <w:szCs w:val="24"/>
          <w:lang w:val="fr-FR"/>
        </w:rPr>
        <w:t xml:space="preserve"> logement </w:t>
      </w:r>
      <w:proofErr w:type="spellStart"/>
      <w:r w:rsidRPr="00263057">
        <w:rPr>
          <w:rFonts w:ascii="Georgia" w:eastAsia="Times New Roman" w:hAnsi="Georgia" w:cs="Times New Roman"/>
          <w:b/>
          <w:bCs/>
          <w:color w:val="2A303C"/>
          <w:kern w:val="36"/>
          <w:sz w:val="24"/>
          <w:szCs w:val="24"/>
          <w:lang w:val="fr-FR"/>
        </w:rPr>
        <w:t>Emmaus</w:t>
      </w:r>
      <w:proofErr w:type="spellEnd"/>
    </w:p>
    <w:p w:rsidR="00122D61" w:rsidRPr="00263057" w:rsidRDefault="00122D61"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r w:rsidRPr="00263057">
        <w:rPr>
          <w:rFonts w:ascii="Georgia" w:eastAsia="Times New Roman" w:hAnsi="Georgia" w:cs="Times New Roman"/>
          <w:b/>
          <w:bCs/>
          <w:color w:val="2A303C"/>
          <w:kern w:val="36"/>
          <w:sz w:val="24"/>
          <w:szCs w:val="24"/>
          <w:lang w:val="fr-FR"/>
        </w:rPr>
        <w:t xml:space="preserve">Les restos du </w:t>
      </w:r>
      <w:proofErr w:type="spellStart"/>
      <w:r w:rsidRPr="00263057">
        <w:rPr>
          <w:rFonts w:ascii="Georgia" w:eastAsia="Times New Roman" w:hAnsi="Georgia" w:cs="Times New Roman"/>
          <w:b/>
          <w:bCs/>
          <w:color w:val="2A303C"/>
          <w:kern w:val="36"/>
          <w:sz w:val="24"/>
          <w:szCs w:val="24"/>
          <w:lang w:val="fr-FR"/>
        </w:rPr>
        <w:t>coeur</w:t>
      </w:r>
      <w:proofErr w:type="spellEnd"/>
    </w:p>
    <w:p w:rsidR="00122D61" w:rsidRDefault="00122D61"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p>
    <w:p w:rsidR="00263057" w:rsidRPr="00263057" w:rsidRDefault="00263057"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r>
        <w:rPr>
          <w:rFonts w:ascii="Georgia" w:eastAsia="Times New Roman" w:hAnsi="Georgia" w:cs="Times New Roman"/>
          <w:b/>
          <w:bCs/>
          <w:color w:val="2A303C"/>
          <w:kern w:val="36"/>
          <w:sz w:val="24"/>
          <w:szCs w:val="24"/>
          <w:lang w:val="fr-FR"/>
        </w:rPr>
        <w:t>Solutions :</w:t>
      </w:r>
    </w:p>
    <w:p w:rsidR="00122D61" w:rsidRDefault="00122D61"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r w:rsidRPr="00263057">
        <w:rPr>
          <w:rFonts w:ascii="Georgia" w:eastAsia="Times New Roman" w:hAnsi="Georgia" w:cs="Times New Roman"/>
          <w:b/>
          <w:bCs/>
          <w:color w:val="2A303C"/>
          <w:kern w:val="36"/>
          <w:sz w:val="24"/>
          <w:szCs w:val="24"/>
          <w:lang w:val="fr-FR"/>
        </w:rPr>
        <w:t>Taxer les plus riches</w:t>
      </w:r>
    </w:p>
    <w:p w:rsidR="00263057" w:rsidRDefault="00263057"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proofErr w:type="gramStart"/>
      <w:r>
        <w:rPr>
          <w:rFonts w:ascii="Georgia" w:eastAsia="Times New Roman" w:hAnsi="Georgia" w:cs="Times New Roman"/>
          <w:b/>
          <w:bCs/>
          <w:color w:val="2A303C"/>
          <w:kern w:val="36"/>
          <w:sz w:val="24"/>
          <w:szCs w:val="24"/>
          <w:lang w:val="fr-FR"/>
        </w:rPr>
        <w:t>maintenir</w:t>
      </w:r>
      <w:proofErr w:type="gramEnd"/>
      <w:r>
        <w:rPr>
          <w:rFonts w:ascii="Georgia" w:eastAsia="Times New Roman" w:hAnsi="Georgia" w:cs="Times New Roman"/>
          <w:b/>
          <w:bCs/>
          <w:color w:val="2A303C"/>
          <w:kern w:val="36"/>
          <w:sz w:val="24"/>
          <w:szCs w:val="24"/>
          <w:lang w:val="fr-FR"/>
        </w:rPr>
        <w:t xml:space="preserve"> les prestations sociales</w:t>
      </w:r>
    </w:p>
    <w:p w:rsidR="00263057" w:rsidRDefault="00263057"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proofErr w:type="gramStart"/>
      <w:r>
        <w:rPr>
          <w:rFonts w:ascii="Georgia" w:eastAsia="Times New Roman" w:hAnsi="Georgia" w:cs="Times New Roman"/>
          <w:b/>
          <w:bCs/>
          <w:color w:val="2A303C"/>
          <w:kern w:val="36"/>
          <w:sz w:val="24"/>
          <w:szCs w:val="24"/>
          <w:lang w:val="fr-FR"/>
        </w:rPr>
        <w:t>réguler</w:t>
      </w:r>
      <w:proofErr w:type="gramEnd"/>
      <w:r>
        <w:rPr>
          <w:rFonts w:ascii="Georgia" w:eastAsia="Times New Roman" w:hAnsi="Georgia" w:cs="Times New Roman"/>
          <w:b/>
          <w:bCs/>
          <w:color w:val="2A303C"/>
          <w:kern w:val="36"/>
          <w:sz w:val="24"/>
          <w:szCs w:val="24"/>
          <w:lang w:val="fr-FR"/>
        </w:rPr>
        <w:t xml:space="preserve"> le parc immobilier</w:t>
      </w:r>
    </w:p>
    <w:p w:rsidR="00263057" w:rsidRPr="00122D61" w:rsidRDefault="00263057" w:rsidP="00122D61">
      <w:pPr>
        <w:shd w:val="clear" w:color="auto" w:fill="FFFFFF"/>
        <w:spacing w:after="0" w:line="240" w:lineRule="auto"/>
        <w:textAlignment w:val="baseline"/>
        <w:outlineLvl w:val="0"/>
        <w:rPr>
          <w:rFonts w:ascii="Georgia" w:eastAsia="Times New Roman" w:hAnsi="Georgia" w:cs="Times New Roman"/>
          <w:b/>
          <w:bCs/>
          <w:color w:val="2A303C"/>
          <w:kern w:val="36"/>
          <w:sz w:val="24"/>
          <w:szCs w:val="24"/>
          <w:lang w:val="fr-FR"/>
        </w:rPr>
      </w:pPr>
    </w:p>
    <w:p w:rsidR="00122D61" w:rsidRPr="00DA3D81" w:rsidRDefault="00122D61" w:rsidP="00224761">
      <w:pPr>
        <w:pStyle w:val="Paragrafoelenco"/>
        <w:ind w:left="1080"/>
        <w:rPr>
          <w:rStyle w:val="Enfasigrassetto"/>
          <w:rFonts w:ascii="Arial" w:hAnsi="Arial" w:cs="Arial"/>
          <w:color w:val="000000"/>
          <w:sz w:val="27"/>
          <w:szCs w:val="27"/>
          <w:shd w:val="clear" w:color="auto" w:fill="FDFDFD"/>
          <w:lang w:val="fr-FR"/>
        </w:rPr>
      </w:pPr>
    </w:p>
    <w:p w:rsidR="00224761" w:rsidRDefault="00224761" w:rsidP="00224761">
      <w:pPr>
        <w:pStyle w:val="Paragrafoelenco"/>
        <w:ind w:left="1080"/>
        <w:rPr>
          <w:lang w:val="fr-FR"/>
        </w:rPr>
      </w:pPr>
    </w:p>
    <w:p w:rsidR="00224761" w:rsidRDefault="00224761" w:rsidP="00224761">
      <w:pPr>
        <w:pStyle w:val="Paragrafoelenco"/>
        <w:ind w:left="1080"/>
        <w:rPr>
          <w:lang w:val="fr-FR"/>
        </w:rPr>
      </w:pPr>
    </w:p>
    <w:p w:rsidR="00224761" w:rsidRPr="00224761" w:rsidRDefault="00224761" w:rsidP="00224761">
      <w:pPr>
        <w:pStyle w:val="Paragrafoelenco"/>
        <w:ind w:left="1080"/>
        <w:rPr>
          <w:lang w:val="fr-FR"/>
        </w:rPr>
      </w:pPr>
    </w:p>
    <w:p w:rsidR="00861346" w:rsidRDefault="00224761" w:rsidP="002B727B">
      <w:pPr>
        <w:pStyle w:val="Paragrafoelenco"/>
        <w:numPr>
          <w:ilvl w:val="0"/>
          <w:numId w:val="3"/>
        </w:numPr>
        <w:rPr>
          <w:lang w:val="fr-FR"/>
        </w:rPr>
      </w:pPr>
      <w:r w:rsidRPr="002B727B">
        <w:rPr>
          <w:lang w:val="fr-FR"/>
        </w:rPr>
        <w:t xml:space="preserve">Les </w:t>
      </w:r>
      <w:r w:rsidR="00F57BF2" w:rsidRPr="002B727B">
        <w:rPr>
          <w:lang w:val="fr-FR"/>
        </w:rPr>
        <w:t>Blancs et les noirs et maghrébins</w:t>
      </w:r>
      <w:r w:rsidR="0063694E" w:rsidRPr="002B727B">
        <w:rPr>
          <w:lang w:val="fr-FR"/>
        </w:rPr>
        <w:t xml:space="preserve">   </w:t>
      </w:r>
      <w:r w:rsidR="00B3004F" w:rsidRPr="002B727B">
        <w:rPr>
          <w:lang w:val="fr-FR"/>
        </w:rPr>
        <w:t xml:space="preserve">  </w:t>
      </w:r>
    </w:p>
    <w:p w:rsidR="00861346" w:rsidRDefault="00B3004F" w:rsidP="00861346">
      <w:pPr>
        <w:pStyle w:val="Paragrafoelenco"/>
        <w:ind w:left="1080"/>
        <w:rPr>
          <w:lang w:val="fr-FR"/>
        </w:rPr>
      </w:pPr>
      <w:proofErr w:type="gramStart"/>
      <w:r w:rsidRPr="002B727B">
        <w:rPr>
          <w:lang w:val="fr-FR"/>
        </w:rPr>
        <w:t>racisme</w:t>
      </w:r>
      <w:proofErr w:type="gramEnd"/>
      <w:r w:rsidRPr="002B727B">
        <w:rPr>
          <w:lang w:val="fr-FR"/>
        </w:rPr>
        <w:t xml:space="preserve"> systémique. </w:t>
      </w:r>
    </w:p>
    <w:p w:rsidR="00F57BF2" w:rsidRDefault="00B3004F" w:rsidP="00861346">
      <w:pPr>
        <w:pStyle w:val="Paragrafoelenco"/>
        <w:ind w:left="1080"/>
        <w:rPr>
          <w:rFonts w:ascii="Arial" w:hAnsi="Arial" w:cs="Arial"/>
          <w:color w:val="000000"/>
          <w:lang w:val="fr-FR"/>
        </w:rPr>
      </w:pPr>
      <w:proofErr w:type="gramStart"/>
      <w:r w:rsidRPr="002B727B">
        <w:rPr>
          <w:rFonts w:ascii="Arial" w:hAnsi="Arial" w:cs="Arial"/>
          <w:color w:val="000000"/>
          <w:lang w:val="fr-FR"/>
        </w:rPr>
        <w:t>le</w:t>
      </w:r>
      <w:proofErr w:type="gramEnd"/>
      <w:r w:rsidRPr="002B727B">
        <w:rPr>
          <w:rFonts w:ascii="Arial" w:hAnsi="Arial" w:cs="Arial"/>
          <w:color w:val="000000"/>
          <w:lang w:val="fr-FR"/>
        </w:rPr>
        <w:t xml:space="preserve"> nombre d’actes antisémites et antimusulmans a augmenté. </w:t>
      </w:r>
    </w:p>
    <w:p w:rsidR="00263057" w:rsidRPr="00861346" w:rsidRDefault="00263057" w:rsidP="00861346">
      <w:pPr>
        <w:pStyle w:val="Paragrafoelenco"/>
        <w:ind w:left="1080"/>
        <w:rPr>
          <w:lang w:val="fr-FR"/>
        </w:rPr>
      </w:pPr>
    </w:p>
    <w:p w:rsidR="00861346" w:rsidRDefault="00861346" w:rsidP="00861346">
      <w:pPr>
        <w:pStyle w:val="Paragrafoelenco"/>
        <w:ind w:left="1080"/>
        <w:rPr>
          <w:rFonts w:ascii="Cambria" w:hAnsi="Cambria" w:cs="Arial"/>
          <w:color w:val="000000"/>
          <w:sz w:val="24"/>
          <w:szCs w:val="24"/>
          <w:shd w:val="clear" w:color="auto" w:fill="FDFDFD"/>
          <w:lang w:val="fr-FR"/>
        </w:rPr>
      </w:pPr>
      <w:r w:rsidRPr="00861346">
        <w:rPr>
          <w:rFonts w:ascii="Cambria" w:hAnsi="Cambria" w:cs="Arial"/>
          <w:color w:val="000000"/>
          <w:sz w:val="24"/>
          <w:szCs w:val="24"/>
          <w:shd w:val="clear" w:color="auto" w:fill="FDFDFD"/>
          <w:lang w:val="fr-FR"/>
        </w:rPr>
        <w:t>Les personnes perçues comme non blanches représentent environ un quart de la population française, mais seulement 15 % des personnes vues à la télévision. </w:t>
      </w:r>
    </w:p>
    <w:p w:rsidR="00263057" w:rsidRDefault="00263057" w:rsidP="00861346">
      <w:pPr>
        <w:pStyle w:val="Paragrafoelenco"/>
        <w:ind w:left="1080"/>
        <w:rPr>
          <w:rFonts w:ascii="Cambria" w:hAnsi="Cambria"/>
          <w:sz w:val="24"/>
          <w:szCs w:val="24"/>
          <w:lang w:val="fr-FR"/>
        </w:rPr>
      </w:pPr>
    </w:p>
    <w:p w:rsidR="00263057"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solutions</w:t>
      </w:r>
      <w:proofErr w:type="gramEnd"/>
      <w:r>
        <w:rPr>
          <w:rFonts w:ascii="Cambria" w:hAnsi="Cambria"/>
          <w:sz w:val="24"/>
          <w:szCs w:val="24"/>
          <w:lang w:val="fr-FR"/>
        </w:rPr>
        <w:t> :</w:t>
      </w:r>
    </w:p>
    <w:p w:rsidR="00263057"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information</w:t>
      </w:r>
      <w:proofErr w:type="gramEnd"/>
    </w:p>
    <w:p w:rsidR="00263057"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éducation</w:t>
      </w:r>
      <w:proofErr w:type="gramEnd"/>
      <w:r>
        <w:rPr>
          <w:rFonts w:ascii="Cambria" w:hAnsi="Cambria"/>
          <w:sz w:val="24"/>
          <w:szCs w:val="24"/>
          <w:lang w:val="fr-FR"/>
        </w:rPr>
        <w:t xml:space="preserve"> lutte contre les stéréotypes</w:t>
      </w:r>
    </w:p>
    <w:p w:rsidR="00263057"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quotas</w:t>
      </w:r>
      <w:proofErr w:type="gramEnd"/>
    </w:p>
    <w:p w:rsidR="00263057"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justice</w:t>
      </w:r>
      <w:proofErr w:type="gramEnd"/>
    </w:p>
    <w:p w:rsidR="00263057"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éthique</w:t>
      </w:r>
      <w:proofErr w:type="gramEnd"/>
      <w:r>
        <w:rPr>
          <w:rFonts w:ascii="Cambria" w:hAnsi="Cambria"/>
          <w:sz w:val="24"/>
          <w:szCs w:val="24"/>
          <w:lang w:val="fr-FR"/>
        </w:rPr>
        <w:t xml:space="preserve"> police</w:t>
      </w:r>
    </w:p>
    <w:p w:rsidR="00263057" w:rsidRPr="00861346" w:rsidRDefault="00263057" w:rsidP="00861346">
      <w:pPr>
        <w:pStyle w:val="Paragrafoelenco"/>
        <w:ind w:left="1080"/>
        <w:rPr>
          <w:rFonts w:ascii="Cambria" w:hAnsi="Cambria"/>
          <w:sz w:val="24"/>
          <w:szCs w:val="24"/>
          <w:lang w:val="fr-FR"/>
        </w:rPr>
      </w:pPr>
      <w:proofErr w:type="gramStart"/>
      <w:r>
        <w:rPr>
          <w:rFonts w:ascii="Cambria" w:hAnsi="Cambria"/>
          <w:sz w:val="24"/>
          <w:szCs w:val="24"/>
          <w:lang w:val="fr-FR"/>
        </w:rPr>
        <w:t>cv</w:t>
      </w:r>
      <w:proofErr w:type="gramEnd"/>
      <w:r>
        <w:rPr>
          <w:rFonts w:ascii="Cambria" w:hAnsi="Cambria"/>
          <w:sz w:val="24"/>
          <w:szCs w:val="24"/>
          <w:lang w:val="fr-FR"/>
        </w:rPr>
        <w:t xml:space="preserve"> anonyme</w:t>
      </w:r>
    </w:p>
    <w:p w:rsidR="00B3004F" w:rsidRDefault="00B3004F" w:rsidP="002B727B">
      <w:pPr>
        <w:pStyle w:val="Paragrafoelenco"/>
        <w:ind w:left="1080"/>
        <w:rPr>
          <w:lang w:val="fr-FR"/>
        </w:rPr>
      </w:pPr>
    </w:p>
    <w:p w:rsidR="00861346" w:rsidRDefault="00224761" w:rsidP="002B727B">
      <w:pPr>
        <w:pStyle w:val="Paragrafoelenco"/>
        <w:numPr>
          <w:ilvl w:val="0"/>
          <w:numId w:val="3"/>
        </w:numPr>
        <w:rPr>
          <w:lang w:val="fr-FR"/>
        </w:rPr>
      </w:pPr>
      <w:r w:rsidRPr="002B727B">
        <w:rPr>
          <w:lang w:val="fr-FR"/>
        </w:rPr>
        <w:t>Les hommes et les femmes</w:t>
      </w:r>
      <w:r w:rsidR="00B3004F" w:rsidRPr="002B727B">
        <w:rPr>
          <w:lang w:val="fr-FR"/>
        </w:rPr>
        <w:t xml:space="preserve">   </w:t>
      </w:r>
    </w:p>
    <w:p w:rsidR="00861346" w:rsidRPr="00861346" w:rsidRDefault="00861346" w:rsidP="00861346">
      <w:pPr>
        <w:pStyle w:val="Paragrafoelenco"/>
        <w:rPr>
          <w:lang w:val="fr-FR"/>
        </w:rPr>
      </w:pPr>
    </w:p>
    <w:p w:rsidR="00861346" w:rsidRDefault="00861346" w:rsidP="00861346">
      <w:pPr>
        <w:pStyle w:val="Paragrafoelenco"/>
        <w:ind w:left="1080"/>
        <w:rPr>
          <w:lang w:val="fr-FR"/>
        </w:rPr>
      </w:pPr>
      <w:proofErr w:type="gramStart"/>
      <w:r>
        <w:rPr>
          <w:lang w:val="fr-FR"/>
        </w:rPr>
        <w:t>inégalités</w:t>
      </w:r>
      <w:proofErr w:type="gramEnd"/>
      <w:r>
        <w:rPr>
          <w:lang w:val="fr-FR"/>
        </w:rPr>
        <w:t xml:space="preserve"> économiques, politiques, domestique</w:t>
      </w:r>
    </w:p>
    <w:p w:rsidR="00861346" w:rsidRPr="00861346" w:rsidRDefault="00861346" w:rsidP="00861346">
      <w:pPr>
        <w:pStyle w:val="Paragrafoelenco"/>
        <w:rPr>
          <w:lang w:val="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77"/>
        <w:gridCol w:w="1573"/>
        <w:gridCol w:w="1588"/>
      </w:tblGrid>
      <w:tr w:rsidR="00861346" w:rsidRPr="00861346" w:rsidTr="00861346">
        <w:trPr>
          <w:tblHeader/>
          <w:tblCellSpacing w:w="15" w:type="dxa"/>
          <w:jc w:val="center"/>
        </w:trPr>
        <w:tc>
          <w:tcPr>
            <w:tcW w:w="0" w:type="auto"/>
            <w:gridSpan w:val="3"/>
            <w:tcBorders>
              <w:top w:val="nil"/>
              <w:left w:val="nil"/>
              <w:bottom w:val="single" w:sz="36" w:space="0" w:color="auto"/>
              <w:right w:val="nil"/>
            </w:tcBorders>
            <w:shd w:val="clear" w:color="auto" w:fill="FFFFFF"/>
            <w:tcMar>
              <w:top w:w="225" w:type="dxa"/>
              <w:left w:w="225" w:type="dxa"/>
              <w:bottom w:w="225" w:type="dxa"/>
              <w:right w:w="225" w:type="dxa"/>
            </w:tcMar>
            <w:vAlign w:val="center"/>
            <w:hideMark/>
          </w:tcPr>
          <w:p w:rsidR="00861346" w:rsidRPr="00861346" w:rsidRDefault="00861346" w:rsidP="00861346">
            <w:pPr>
              <w:spacing w:after="0" w:line="371" w:lineRule="atLeast"/>
              <w:jc w:val="center"/>
              <w:rPr>
                <w:rFonts w:ascii="Arial" w:eastAsia="Times New Roman" w:hAnsi="Arial" w:cs="Arial"/>
                <w:b/>
                <w:bCs/>
                <w:sz w:val="24"/>
                <w:szCs w:val="24"/>
                <w:lang w:val="fr-FR"/>
              </w:rPr>
            </w:pPr>
            <w:r w:rsidRPr="00861346">
              <w:rPr>
                <w:rFonts w:ascii="Arial" w:eastAsia="Times New Roman" w:hAnsi="Arial" w:cs="Arial"/>
                <w:b/>
                <w:bCs/>
                <w:sz w:val="24"/>
                <w:szCs w:val="24"/>
                <w:lang w:val="fr-FR"/>
              </w:rPr>
              <w:t>Les inégalités entre les femmes et les hommes en France : principaux indicateurs</w:t>
            </w:r>
          </w:p>
        </w:tc>
      </w:tr>
      <w:tr w:rsidR="00861346" w:rsidRPr="00861346" w:rsidTr="00861346">
        <w:trPr>
          <w:tblHeader/>
          <w:tblCellSpacing w:w="15" w:type="dxa"/>
          <w:jc w:val="center"/>
        </w:trPr>
        <w:tc>
          <w:tcPr>
            <w:tcW w:w="0" w:type="auto"/>
            <w:tcBorders>
              <w:top w:val="nil"/>
              <w:left w:val="nil"/>
              <w:bottom w:val="nil"/>
              <w:right w:val="nil"/>
            </w:tcBorders>
            <w:tcMar>
              <w:top w:w="225" w:type="dxa"/>
              <w:left w:w="30" w:type="dxa"/>
              <w:bottom w:w="225" w:type="dxa"/>
              <w:right w:w="30" w:type="dxa"/>
            </w:tcMar>
            <w:vAlign w:val="center"/>
            <w:hideMark/>
          </w:tcPr>
          <w:p w:rsidR="00861346" w:rsidRPr="00861346" w:rsidRDefault="00861346" w:rsidP="00861346">
            <w:pPr>
              <w:spacing w:after="0" w:line="371" w:lineRule="atLeast"/>
              <w:jc w:val="center"/>
              <w:rPr>
                <w:rFonts w:ascii="Arial" w:eastAsia="Times New Roman" w:hAnsi="Arial" w:cs="Arial"/>
                <w:b/>
                <w:bCs/>
                <w:sz w:val="24"/>
                <w:szCs w:val="24"/>
                <w:lang w:val="fr-FR"/>
              </w:rPr>
            </w:pPr>
          </w:p>
        </w:tc>
        <w:tc>
          <w:tcPr>
            <w:tcW w:w="1500" w:type="dxa"/>
            <w:tcBorders>
              <w:top w:val="nil"/>
              <w:left w:val="single" w:sz="6" w:space="0" w:color="auto"/>
              <w:bottom w:val="nil"/>
              <w:right w:val="nil"/>
            </w:tcBorders>
            <w:tcMar>
              <w:top w:w="225" w:type="dxa"/>
              <w:left w:w="30" w:type="dxa"/>
              <w:bottom w:w="225" w:type="dxa"/>
              <w:right w:w="30" w:type="dxa"/>
            </w:tcMar>
            <w:vAlign w:val="center"/>
            <w:hideMark/>
          </w:tcPr>
          <w:p w:rsidR="00861346" w:rsidRPr="00861346" w:rsidRDefault="00861346" w:rsidP="00861346">
            <w:pPr>
              <w:spacing w:after="0" w:line="240" w:lineRule="auto"/>
              <w:jc w:val="center"/>
              <w:rPr>
                <w:rFonts w:ascii="Arial" w:eastAsia="Times New Roman" w:hAnsi="Arial" w:cs="Arial"/>
                <w:b/>
                <w:bCs/>
                <w:sz w:val="24"/>
                <w:szCs w:val="24"/>
              </w:rPr>
            </w:pPr>
            <w:proofErr w:type="spellStart"/>
            <w:r w:rsidRPr="00861346">
              <w:rPr>
                <w:rFonts w:ascii="Arial" w:eastAsia="Times New Roman" w:hAnsi="Arial" w:cs="Arial"/>
                <w:b/>
                <w:bCs/>
                <w:sz w:val="24"/>
                <w:szCs w:val="24"/>
              </w:rPr>
              <w:t>Hommes</w:t>
            </w:r>
            <w:proofErr w:type="spellEnd"/>
          </w:p>
        </w:tc>
        <w:tc>
          <w:tcPr>
            <w:tcW w:w="1500" w:type="dxa"/>
            <w:tcBorders>
              <w:top w:val="nil"/>
              <w:left w:val="single" w:sz="6" w:space="0" w:color="auto"/>
              <w:bottom w:val="nil"/>
              <w:right w:val="nil"/>
            </w:tcBorders>
            <w:tcMar>
              <w:top w:w="225" w:type="dxa"/>
              <w:left w:w="30" w:type="dxa"/>
              <w:bottom w:w="225" w:type="dxa"/>
              <w:right w:w="30" w:type="dxa"/>
            </w:tcMar>
            <w:vAlign w:val="center"/>
            <w:hideMark/>
          </w:tcPr>
          <w:p w:rsidR="00861346" w:rsidRPr="00861346" w:rsidRDefault="00861346" w:rsidP="00861346">
            <w:pPr>
              <w:spacing w:after="0" w:line="240" w:lineRule="auto"/>
              <w:jc w:val="center"/>
              <w:rPr>
                <w:rFonts w:ascii="Arial" w:eastAsia="Times New Roman" w:hAnsi="Arial" w:cs="Arial"/>
                <w:b/>
                <w:bCs/>
                <w:sz w:val="24"/>
                <w:szCs w:val="24"/>
              </w:rPr>
            </w:pPr>
            <w:r w:rsidRPr="00861346">
              <w:rPr>
                <w:rFonts w:ascii="Arial" w:eastAsia="Times New Roman" w:hAnsi="Arial" w:cs="Arial"/>
                <w:b/>
                <w:bCs/>
                <w:sz w:val="24"/>
                <w:szCs w:val="24"/>
              </w:rPr>
              <w:t>Femmes</w:t>
            </w:r>
          </w:p>
        </w:tc>
      </w:tr>
      <w:tr w:rsidR="00861346" w:rsidRPr="00861346" w:rsidTr="00861346">
        <w:trPr>
          <w:tblCellSpacing w:w="15" w:type="dxa"/>
          <w:jc w:val="center"/>
        </w:trPr>
        <w:tc>
          <w:tcPr>
            <w:tcW w:w="0" w:type="auto"/>
            <w:gridSpan w:val="3"/>
            <w:tcBorders>
              <w:top w:val="nil"/>
              <w:left w:val="single" w:sz="6" w:space="0" w:color="auto"/>
              <w:bottom w:val="nil"/>
              <w:right w:val="nil"/>
            </w:tcBorders>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p>
        </w:tc>
      </w:tr>
      <w:tr w:rsidR="00861346" w:rsidRPr="00861346" w:rsidTr="00861346">
        <w:trPr>
          <w:tblCellSpacing w:w="15" w:type="dxa"/>
          <w:jc w:val="center"/>
        </w:trPr>
        <w:tc>
          <w:tcPr>
            <w:tcW w:w="0" w:type="auto"/>
            <w:tcBorders>
              <w:top w:val="nil"/>
              <w:left w:val="nil"/>
              <w:bottom w:val="nil"/>
              <w:right w:val="nil"/>
            </w:tcBorders>
            <w:shd w:val="clear" w:color="auto" w:fill="F6F6F1"/>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proofErr w:type="spellStart"/>
            <w:r w:rsidRPr="00861346">
              <w:rPr>
                <w:rFonts w:ascii="Arial" w:eastAsia="Times New Roman" w:hAnsi="Arial" w:cs="Arial"/>
                <w:b/>
                <w:bCs/>
                <w:color w:val="333333"/>
                <w:sz w:val="24"/>
                <w:szCs w:val="24"/>
              </w:rPr>
              <w:t>Emploi</w:t>
            </w:r>
            <w:proofErr w:type="spellEnd"/>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Times New Roman" w:eastAsia="Times New Roman" w:hAnsi="Times New Roman" w:cs="Times New Roman"/>
                <w:sz w:val="20"/>
                <w:szCs w:val="20"/>
              </w:rPr>
            </w:pPr>
          </w:p>
        </w:tc>
      </w:tr>
      <w:tr w:rsidR="00861346" w:rsidRPr="00861346" w:rsidTr="00861346">
        <w:trPr>
          <w:tblCellSpacing w:w="15" w:type="dxa"/>
          <w:jc w:val="center"/>
        </w:trPr>
        <w:tc>
          <w:tcPr>
            <w:tcW w:w="0" w:type="auto"/>
            <w:tcBorders>
              <w:top w:val="nil"/>
              <w:left w:val="nil"/>
              <w:bottom w:val="nil"/>
              <w:right w:val="nil"/>
            </w:tcBorders>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lang w:val="fr-FR"/>
              </w:rPr>
            </w:pPr>
            <w:r w:rsidRPr="00861346">
              <w:rPr>
                <w:rFonts w:ascii="Arial" w:eastAsia="Times New Roman" w:hAnsi="Arial" w:cs="Arial"/>
                <w:color w:val="333333"/>
                <w:sz w:val="24"/>
                <w:szCs w:val="24"/>
                <w:lang w:val="fr-FR"/>
              </w:rPr>
              <w:lastRenderedPageBreak/>
              <w:t>Nombre d'actifs occupés en temps partiel subi en 2019</w:t>
            </w:r>
          </w:p>
        </w:tc>
        <w:tc>
          <w:tcPr>
            <w:tcW w:w="0" w:type="auto"/>
            <w:tcBorders>
              <w:top w:val="nil"/>
              <w:left w:val="single" w:sz="6" w:space="0" w:color="auto"/>
              <w:bottom w:val="nil"/>
              <w:right w:val="nil"/>
            </w:tcBorders>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386 200</w:t>
            </w:r>
          </w:p>
        </w:tc>
        <w:tc>
          <w:tcPr>
            <w:tcW w:w="0" w:type="auto"/>
            <w:tcBorders>
              <w:top w:val="nil"/>
              <w:left w:val="single" w:sz="6" w:space="0" w:color="auto"/>
              <w:bottom w:val="nil"/>
              <w:right w:val="nil"/>
            </w:tcBorders>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1 012 200</w:t>
            </w:r>
          </w:p>
        </w:tc>
      </w:tr>
      <w:tr w:rsidR="00861346" w:rsidRPr="00861346" w:rsidTr="00861346">
        <w:trPr>
          <w:tblCellSpacing w:w="15" w:type="dxa"/>
          <w:jc w:val="center"/>
        </w:trPr>
        <w:tc>
          <w:tcPr>
            <w:tcW w:w="0" w:type="auto"/>
            <w:gridSpan w:val="3"/>
            <w:tcBorders>
              <w:top w:val="nil"/>
              <w:left w:val="single" w:sz="6" w:space="0" w:color="auto"/>
              <w:bottom w:val="nil"/>
              <w:right w:val="nil"/>
            </w:tcBorders>
            <w:shd w:val="clear" w:color="auto" w:fill="F6F6F1"/>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p>
        </w:tc>
      </w:tr>
      <w:tr w:rsidR="00861346" w:rsidRPr="00861346" w:rsidTr="00861346">
        <w:trPr>
          <w:tblCellSpacing w:w="15" w:type="dxa"/>
          <w:jc w:val="center"/>
        </w:trPr>
        <w:tc>
          <w:tcPr>
            <w:tcW w:w="0" w:type="auto"/>
            <w:gridSpan w:val="3"/>
            <w:tcBorders>
              <w:top w:val="nil"/>
              <w:left w:val="single" w:sz="6" w:space="0" w:color="auto"/>
              <w:bottom w:val="nil"/>
              <w:right w:val="nil"/>
            </w:tcBorders>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p>
        </w:tc>
      </w:tr>
      <w:tr w:rsidR="00861346" w:rsidRPr="00861346" w:rsidTr="00861346">
        <w:trPr>
          <w:tblCellSpacing w:w="15" w:type="dxa"/>
          <w:jc w:val="center"/>
        </w:trPr>
        <w:tc>
          <w:tcPr>
            <w:tcW w:w="0" w:type="auto"/>
            <w:tcBorders>
              <w:top w:val="nil"/>
              <w:left w:val="nil"/>
              <w:bottom w:val="nil"/>
              <w:right w:val="nil"/>
            </w:tcBorders>
            <w:shd w:val="clear" w:color="auto" w:fill="F6F6F1"/>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r w:rsidRPr="00861346">
              <w:rPr>
                <w:rFonts w:ascii="Arial" w:eastAsia="Times New Roman" w:hAnsi="Arial" w:cs="Arial"/>
                <w:b/>
                <w:bCs/>
                <w:color w:val="333333"/>
                <w:sz w:val="24"/>
                <w:szCs w:val="24"/>
              </w:rPr>
              <w:t>Conditions de vie</w:t>
            </w:r>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Times New Roman" w:eastAsia="Times New Roman" w:hAnsi="Times New Roman" w:cs="Times New Roman"/>
                <w:sz w:val="20"/>
                <w:szCs w:val="20"/>
              </w:rPr>
            </w:pPr>
          </w:p>
        </w:tc>
      </w:tr>
      <w:tr w:rsidR="00861346" w:rsidRPr="00861346" w:rsidTr="00861346">
        <w:trPr>
          <w:tblCellSpacing w:w="15" w:type="dxa"/>
          <w:jc w:val="center"/>
        </w:trPr>
        <w:tc>
          <w:tcPr>
            <w:tcW w:w="0" w:type="auto"/>
            <w:tcBorders>
              <w:top w:val="nil"/>
              <w:left w:val="nil"/>
              <w:bottom w:val="nil"/>
              <w:right w:val="nil"/>
            </w:tcBorders>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lang w:val="fr-FR"/>
              </w:rPr>
            </w:pPr>
            <w:r w:rsidRPr="00861346">
              <w:rPr>
                <w:rFonts w:ascii="Arial" w:eastAsia="Times New Roman" w:hAnsi="Arial" w:cs="Arial"/>
                <w:color w:val="333333"/>
                <w:sz w:val="24"/>
                <w:szCs w:val="24"/>
                <w:lang w:val="fr-FR"/>
              </w:rPr>
              <w:t>Temps journalier consacré au travail domestique en 2010</w:t>
            </w:r>
          </w:p>
        </w:tc>
        <w:tc>
          <w:tcPr>
            <w:tcW w:w="0" w:type="auto"/>
            <w:tcBorders>
              <w:top w:val="nil"/>
              <w:left w:val="single" w:sz="6" w:space="0" w:color="auto"/>
              <w:bottom w:val="nil"/>
              <w:right w:val="nil"/>
            </w:tcBorders>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2h00</w:t>
            </w:r>
          </w:p>
        </w:tc>
        <w:tc>
          <w:tcPr>
            <w:tcW w:w="0" w:type="auto"/>
            <w:tcBorders>
              <w:top w:val="nil"/>
              <w:left w:val="single" w:sz="6" w:space="0" w:color="auto"/>
              <w:bottom w:val="nil"/>
              <w:right w:val="nil"/>
            </w:tcBorders>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3h26</w:t>
            </w:r>
          </w:p>
        </w:tc>
      </w:tr>
      <w:tr w:rsidR="00861346" w:rsidRPr="00861346" w:rsidTr="00861346">
        <w:trPr>
          <w:tblCellSpacing w:w="15" w:type="dxa"/>
          <w:jc w:val="center"/>
        </w:trPr>
        <w:tc>
          <w:tcPr>
            <w:tcW w:w="0" w:type="auto"/>
            <w:gridSpan w:val="3"/>
            <w:tcBorders>
              <w:top w:val="nil"/>
              <w:left w:val="single" w:sz="6" w:space="0" w:color="auto"/>
              <w:bottom w:val="nil"/>
              <w:right w:val="nil"/>
            </w:tcBorders>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p>
        </w:tc>
      </w:tr>
      <w:tr w:rsidR="00861346" w:rsidRPr="00861346" w:rsidTr="00861346">
        <w:trPr>
          <w:tblCellSpacing w:w="15" w:type="dxa"/>
          <w:jc w:val="center"/>
        </w:trPr>
        <w:tc>
          <w:tcPr>
            <w:tcW w:w="0" w:type="auto"/>
            <w:tcBorders>
              <w:top w:val="nil"/>
              <w:left w:val="nil"/>
              <w:bottom w:val="nil"/>
              <w:right w:val="nil"/>
            </w:tcBorders>
            <w:shd w:val="clear" w:color="auto" w:fill="F6F6F1"/>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r w:rsidRPr="00861346">
              <w:rPr>
                <w:rFonts w:ascii="Arial" w:eastAsia="Times New Roman" w:hAnsi="Arial" w:cs="Arial"/>
                <w:b/>
                <w:bCs/>
                <w:color w:val="333333"/>
                <w:sz w:val="24"/>
                <w:szCs w:val="24"/>
              </w:rPr>
              <w:t xml:space="preserve">Vie </w:t>
            </w:r>
            <w:proofErr w:type="spellStart"/>
            <w:r w:rsidRPr="00861346">
              <w:rPr>
                <w:rFonts w:ascii="Arial" w:eastAsia="Times New Roman" w:hAnsi="Arial" w:cs="Arial"/>
                <w:b/>
                <w:bCs/>
                <w:color w:val="333333"/>
                <w:sz w:val="24"/>
                <w:szCs w:val="24"/>
              </w:rPr>
              <w:t>politique</w:t>
            </w:r>
            <w:proofErr w:type="spellEnd"/>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Times New Roman" w:eastAsia="Times New Roman" w:hAnsi="Times New Roman" w:cs="Times New Roman"/>
                <w:sz w:val="20"/>
                <w:szCs w:val="20"/>
              </w:rPr>
            </w:pPr>
          </w:p>
        </w:tc>
      </w:tr>
      <w:tr w:rsidR="00861346" w:rsidRPr="00861346" w:rsidTr="00861346">
        <w:trPr>
          <w:tblCellSpacing w:w="15" w:type="dxa"/>
          <w:jc w:val="center"/>
        </w:trPr>
        <w:tc>
          <w:tcPr>
            <w:tcW w:w="0" w:type="auto"/>
            <w:tcBorders>
              <w:top w:val="nil"/>
              <w:left w:val="nil"/>
              <w:bottom w:val="nil"/>
              <w:right w:val="nil"/>
            </w:tcBorders>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lang w:val="fr-FR"/>
              </w:rPr>
            </w:pPr>
            <w:r w:rsidRPr="00861346">
              <w:rPr>
                <w:rFonts w:ascii="Arial" w:eastAsia="Times New Roman" w:hAnsi="Arial" w:cs="Arial"/>
                <w:color w:val="333333"/>
                <w:sz w:val="24"/>
                <w:szCs w:val="24"/>
                <w:lang w:val="fr-FR"/>
              </w:rPr>
              <w:t>Part des députés à l’Assemblée nationale en 2017</w:t>
            </w:r>
          </w:p>
        </w:tc>
        <w:tc>
          <w:tcPr>
            <w:tcW w:w="0" w:type="auto"/>
            <w:tcBorders>
              <w:top w:val="nil"/>
              <w:left w:val="single" w:sz="6" w:space="0" w:color="auto"/>
              <w:bottom w:val="nil"/>
              <w:right w:val="nil"/>
            </w:tcBorders>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61,3 %</w:t>
            </w:r>
          </w:p>
        </w:tc>
        <w:tc>
          <w:tcPr>
            <w:tcW w:w="0" w:type="auto"/>
            <w:tcBorders>
              <w:top w:val="nil"/>
              <w:left w:val="single" w:sz="6" w:space="0" w:color="auto"/>
              <w:bottom w:val="nil"/>
              <w:right w:val="nil"/>
            </w:tcBorders>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38,7 %</w:t>
            </w:r>
          </w:p>
        </w:tc>
      </w:tr>
      <w:tr w:rsidR="00861346" w:rsidRPr="00861346" w:rsidTr="00861346">
        <w:trPr>
          <w:tblCellSpacing w:w="15" w:type="dxa"/>
          <w:jc w:val="center"/>
        </w:trPr>
        <w:tc>
          <w:tcPr>
            <w:tcW w:w="0" w:type="auto"/>
            <w:tcBorders>
              <w:top w:val="nil"/>
              <w:left w:val="nil"/>
              <w:bottom w:val="nil"/>
              <w:right w:val="nil"/>
            </w:tcBorders>
            <w:shd w:val="clear" w:color="auto" w:fill="F6F6F1"/>
            <w:tcMar>
              <w:top w:w="105" w:type="dxa"/>
              <w:left w:w="300" w:type="dxa"/>
              <w:bottom w:w="105" w:type="dxa"/>
              <w:right w:w="30" w:type="dxa"/>
            </w:tcMar>
            <w:vAlign w:val="center"/>
            <w:hideMark/>
          </w:tcPr>
          <w:p w:rsidR="00861346" w:rsidRPr="00861346" w:rsidRDefault="00861346" w:rsidP="00861346">
            <w:pPr>
              <w:spacing w:after="0" w:line="240" w:lineRule="auto"/>
              <w:rPr>
                <w:rFonts w:ascii="Arial" w:eastAsia="Times New Roman" w:hAnsi="Arial" w:cs="Arial"/>
                <w:color w:val="333333"/>
                <w:sz w:val="24"/>
                <w:szCs w:val="24"/>
              </w:rPr>
            </w:pPr>
            <w:r w:rsidRPr="00861346">
              <w:rPr>
                <w:rFonts w:ascii="Arial" w:eastAsia="Times New Roman" w:hAnsi="Arial" w:cs="Arial"/>
                <w:color w:val="333333"/>
                <w:sz w:val="24"/>
                <w:szCs w:val="24"/>
              </w:rPr>
              <w:t xml:space="preserve">Part </w:t>
            </w:r>
            <w:proofErr w:type="spellStart"/>
            <w:r w:rsidRPr="00861346">
              <w:rPr>
                <w:rFonts w:ascii="Arial" w:eastAsia="Times New Roman" w:hAnsi="Arial" w:cs="Arial"/>
                <w:color w:val="333333"/>
                <w:sz w:val="24"/>
                <w:szCs w:val="24"/>
              </w:rPr>
              <w:t>des</w:t>
            </w:r>
            <w:proofErr w:type="spellEnd"/>
            <w:r w:rsidRPr="00861346">
              <w:rPr>
                <w:rFonts w:ascii="Arial" w:eastAsia="Times New Roman" w:hAnsi="Arial" w:cs="Arial"/>
                <w:color w:val="333333"/>
                <w:sz w:val="24"/>
                <w:szCs w:val="24"/>
              </w:rPr>
              <w:t xml:space="preserve"> </w:t>
            </w:r>
            <w:proofErr w:type="spellStart"/>
            <w:r w:rsidRPr="00861346">
              <w:rPr>
                <w:rFonts w:ascii="Arial" w:eastAsia="Times New Roman" w:hAnsi="Arial" w:cs="Arial"/>
                <w:color w:val="333333"/>
                <w:sz w:val="24"/>
                <w:szCs w:val="24"/>
              </w:rPr>
              <w:t>maires</w:t>
            </w:r>
            <w:proofErr w:type="spellEnd"/>
            <w:r w:rsidRPr="00861346">
              <w:rPr>
                <w:rFonts w:ascii="Arial" w:eastAsia="Times New Roman" w:hAnsi="Arial" w:cs="Arial"/>
                <w:color w:val="333333"/>
                <w:sz w:val="24"/>
                <w:szCs w:val="24"/>
              </w:rPr>
              <w:t xml:space="preserve"> en 2020</w:t>
            </w:r>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80,2 %</w:t>
            </w:r>
          </w:p>
        </w:tc>
        <w:tc>
          <w:tcPr>
            <w:tcW w:w="0" w:type="auto"/>
            <w:tcBorders>
              <w:top w:val="nil"/>
              <w:left w:val="single" w:sz="6" w:space="0" w:color="auto"/>
              <w:bottom w:val="nil"/>
              <w:right w:val="nil"/>
            </w:tcBorders>
            <w:shd w:val="clear" w:color="auto" w:fill="F6F6F1"/>
            <w:tcMar>
              <w:top w:w="105" w:type="dxa"/>
              <w:left w:w="30" w:type="dxa"/>
              <w:bottom w:w="105" w:type="dxa"/>
              <w:right w:w="30" w:type="dxa"/>
            </w:tcMar>
            <w:vAlign w:val="center"/>
            <w:hideMark/>
          </w:tcPr>
          <w:p w:rsidR="00861346" w:rsidRPr="00861346" w:rsidRDefault="00861346" w:rsidP="00861346">
            <w:pPr>
              <w:spacing w:after="0" w:line="240" w:lineRule="auto"/>
              <w:jc w:val="center"/>
              <w:rPr>
                <w:rFonts w:ascii="Arial" w:eastAsia="Times New Roman" w:hAnsi="Arial" w:cs="Arial"/>
                <w:color w:val="333333"/>
                <w:sz w:val="24"/>
                <w:szCs w:val="24"/>
              </w:rPr>
            </w:pPr>
            <w:r w:rsidRPr="00861346">
              <w:rPr>
                <w:rFonts w:ascii="Arial" w:eastAsia="Times New Roman" w:hAnsi="Arial" w:cs="Arial"/>
                <w:color w:val="333333"/>
                <w:sz w:val="24"/>
                <w:szCs w:val="24"/>
              </w:rPr>
              <w:t>19,8 %</w:t>
            </w:r>
          </w:p>
        </w:tc>
      </w:tr>
    </w:tbl>
    <w:p w:rsidR="00861346" w:rsidRPr="00861346" w:rsidRDefault="00861346" w:rsidP="00861346">
      <w:pPr>
        <w:shd w:val="clear" w:color="auto" w:fill="FDFDFD"/>
        <w:spacing w:line="240" w:lineRule="auto"/>
        <w:rPr>
          <w:rFonts w:ascii="Arial" w:eastAsia="Times New Roman" w:hAnsi="Arial" w:cs="Arial"/>
          <w:color w:val="000000"/>
          <w:sz w:val="24"/>
          <w:szCs w:val="24"/>
          <w:lang w:val="fr-FR"/>
        </w:rPr>
      </w:pPr>
      <w:r w:rsidRPr="00861346">
        <w:rPr>
          <w:rFonts w:ascii="Arial" w:eastAsia="Times New Roman" w:hAnsi="Arial" w:cs="Arial"/>
          <w:color w:val="000000"/>
          <w:sz w:val="24"/>
          <w:szCs w:val="24"/>
          <w:lang w:val="fr-FR"/>
        </w:rPr>
        <w:br/>
      </w:r>
      <w:r w:rsidRPr="00861346">
        <w:rPr>
          <w:rFonts w:ascii="Arial" w:eastAsia="Times New Roman" w:hAnsi="Arial" w:cs="Arial"/>
          <w:b/>
          <w:bCs/>
          <w:color w:val="000000"/>
          <w:sz w:val="24"/>
          <w:szCs w:val="24"/>
          <w:lang w:val="fr-FR"/>
        </w:rPr>
        <w:t>Source :</w:t>
      </w:r>
      <w:r w:rsidRPr="00861346">
        <w:rPr>
          <w:rFonts w:ascii="Arial" w:eastAsia="Times New Roman" w:hAnsi="Arial" w:cs="Arial"/>
          <w:color w:val="000000"/>
          <w:sz w:val="24"/>
          <w:szCs w:val="24"/>
          <w:lang w:val="fr-FR"/>
        </w:rPr>
        <w:t> Insee, ministère de l'Enseignement supérieur, ministère de l’Intérieur – © Observatoire des inégalités</w:t>
      </w:r>
    </w:p>
    <w:p w:rsidR="002B727B" w:rsidRPr="002B727B" w:rsidRDefault="00B3004F" w:rsidP="00861346">
      <w:pPr>
        <w:pStyle w:val="Paragrafoelenco"/>
        <w:ind w:left="1080"/>
        <w:rPr>
          <w:lang w:val="fr-FR"/>
        </w:rPr>
      </w:pPr>
      <w:r w:rsidRPr="002B727B">
        <w:rPr>
          <w:lang w:val="fr-FR"/>
        </w:rPr>
        <w:t xml:space="preserve"> </w:t>
      </w:r>
    </w:p>
    <w:p w:rsidR="002B727B" w:rsidRDefault="002B727B" w:rsidP="002B727B">
      <w:pPr>
        <w:pStyle w:val="Paragrafoelenco"/>
        <w:ind w:left="1080"/>
        <w:rPr>
          <w:lang w:val="fr-FR"/>
        </w:rPr>
      </w:pPr>
      <w:r w:rsidRPr="0063694E">
        <w:rPr>
          <w:rStyle w:val="Enfasigrassetto"/>
          <w:rFonts w:ascii="Arial" w:hAnsi="Arial" w:cs="Arial"/>
          <w:noProof/>
          <w:color w:val="000000"/>
          <w:sz w:val="27"/>
          <w:szCs w:val="27"/>
          <w:shd w:val="clear" w:color="auto" w:fill="FDFDFD"/>
          <w:lang w:val="fr-FR"/>
        </w:rPr>
        <w:drawing>
          <wp:inline distT="0" distB="0" distL="0" distR="0" wp14:anchorId="6C2B1F35" wp14:editId="4D591596">
            <wp:extent cx="5915025" cy="10001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3352" b="47535"/>
                    <a:stretch/>
                  </pic:blipFill>
                  <pic:spPr bwMode="auto">
                    <a:xfrm>
                      <a:off x="0" y="0"/>
                      <a:ext cx="5915025" cy="1000125"/>
                    </a:xfrm>
                    <a:prstGeom prst="rect">
                      <a:avLst/>
                    </a:prstGeom>
                    <a:ln>
                      <a:noFill/>
                    </a:ln>
                    <a:extLst>
                      <a:ext uri="{53640926-AAD7-44D8-BBD7-CCE9431645EC}">
                        <a14:shadowObscured xmlns:a14="http://schemas.microsoft.com/office/drawing/2010/main"/>
                      </a:ext>
                    </a:extLst>
                  </pic:spPr>
                </pic:pic>
              </a:graphicData>
            </a:graphic>
          </wp:inline>
        </w:drawing>
      </w:r>
    </w:p>
    <w:p w:rsidR="00263057" w:rsidRDefault="00263057" w:rsidP="002B727B">
      <w:pPr>
        <w:pStyle w:val="Paragrafoelenco"/>
        <w:ind w:left="1080"/>
        <w:rPr>
          <w:lang w:val="fr-FR"/>
        </w:rPr>
      </w:pPr>
    </w:p>
    <w:p w:rsidR="00263057" w:rsidRDefault="00263057" w:rsidP="002B727B">
      <w:pPr>
        <w:pStyle w:val="Paragrafoelenco"/>
        <w:ind w:left="1080"/>
        <w:rPr>
          <w:lang w:val="fr-FR"/>
        </w:rPr>
      </w:pPr>
      <w:proofErr w:type="gramStart"/>
      <w:r>
        <w:rPr>
          <w:lang w:val="fr-FR"/>
        </w:rPr>
        <w:t>solutions</w:t>
      </w:r>
      <w:proofErr w:type="gramEnd"/>
      <w:r>
        <w:rPr>
          <w:lang w:val="fr-FR"/>
        </w:rPr>
        <w:t xml:space="preserve"> : </w:t>
      </w:r>
    </w:p>
    <w:p w:rsidR="00263057" w:rsidRDefault="00263057" w:rsidP="002B727B">
      <w:pPr>
        <w:pStyle w:val="Paragrafoelenco"/>
        <w:ind w:left="1080"/>
        <w:rPr>
          <w:lang w:val="fr-FR"/>
        </w:rPr>
      </w:pPr>
    </w:p>
    <w:p w:rsidR="00263057" w:rsidRDefault="00263057" w:rsidP="002B727B">
      <w:pPr>
        <w:pStyle w:val="Paragrafoelenco"/>
        <w:ind w:left="1080"/>
        <w:rPr>
          <w:lang w:val="fr-FR"/>
        </w:rPr>
      </w:pPr>
      <w:r>
        <w:rPr>
          <w:lang w:val="fr-FR"/>
        </w:rPr>
        <w:t>parité/ quotas</w:t>
      </w:r>
      <w:bookmarkStart w:id="0" w:name="_GoBack"/>
      <w:bookmarkEnd w:id="0"/>
    </w:p>
    <w:p w:rsidR="00263057" w:rsidRDefault="00263057" w:rsidP="002B727B">
      <w:pPr>
        <w:pStyle w:val="Paragrafoelenco"/>
        <w:ind w:left="1080"/>
        <w:rPr>
          <w:lang w:val="fr-FR"/>
        </w:rPr>
      </w:pPr>
    </w:p>
    <w:p w:rsidR="00263057" w:rsidRDefault="00263057">
      <w:pPr>
        <w:rPr>
          <w:lang w:val="fr-FR"/>
        </w:rPr>
      </w:pPr>
      <w:r>
        <w:rPr>
          <w:lang w:val="fr-FR"/>
        </w:rPr>
        <w:br w:type="page"/>
      </w:r>
    </w:p>
    <w:p w:rsidR="00263057" w:rsidRPr="002B727B" w:rsidRDefault="00263057" w:rsidP="002B727B">
      <w:pPr>
        <w:pStyle w:val="Paragrafoelenco"/>
        <w:ind w:left="1080"/>
        <w:rPr>
          <w:lang w:val="fr-FR"/>
        </w:rPr>
      </w:pPr>
    </w:p>
    <w:p w:rsidR="00224761" w:rsidRDefault="00224761" w:rsidP="002B727B">
      <w:pPr>
        <w:pStyle w:val="Paragrafoelenco"/>
        <w:numPr>
          <w:ilvl w:val="0"/>
          <w:numId w:val="3"/>
        </w:numPr>
        <w:rPr>
          <w:lang w:val="fr-FR"/>
        </w:rPr>
      </w:pPr>
      <w:r>
        <w:rPr>
          <w:lang w:val="fr-FR"/>
        </w:rPr>
        <w:t>Les handicapés/ les personnes sans handicap</w:t>
      </w:r>
    </w:p>
    <w:p w:rsidR="00B3004F" w:rsidRDefault="00B3004F" w:rsidP="002B727B">
      <w:pPr>
        <w:pStyle w:val="Paragrafoelenco"/>
        <w:ind w:left="1080"/>
        <w:rPr>
          <w:lang w:val="fr-FR"/>
        </w:rPr>
      </w:pPr>
    </w:p>
    <w:p w:rsidR="00DA3D81" w:rsidRDefault="00224761" w:rsidP="002B727B">
      <w:pPr>
        <w:pStyle w:val="Paragrafoelenco"/>
        <w:numPr>
          <w:ilvl w:val="0"/>
          <w:numId w:val="3"/>
        </w:numPr>
        <w:rPr>
          <w:lang w:val="fr-FR"/>
        </w:rPr>
      </w:pPr>
      <w:r>
        <w:rPr>
          <w:lang w:val="fr-FR"/>
        </w:rPr>
        <w:t xml:space="preserve">Les inégalités territoriales   </w:t>
      </w:r>
    </w:p>
    <w:p w:rsidR="00DA3D81" w:rsidRPr="00DA3D81" w:rsidRDefault="00DA3D81" w:rsidP="00DA3D81">
      <w:pPr>
        <w:pStyle w:val="Paragrafoelenco"/>
        <w:rPr>
          <w:lang w:val="fr-FR"/>
        </w:rPr>
      </w:pPr>
    </w:p>
    <w:p w:rsidR="00DA3D81" w:rsidRDefault="00224761" w:rsidP="00DA3D81">
      <w:pPr>
        <w:pStyle w:val="Paragrafoelenco"/>
        <w:ind w:left="1080"/>
        <w:rPr>
          <w:lang w:val="fr-FR"/>
        </w:rPr>
      </w:pPr>
      <w:proofErr w:type="gramStart"/>
      <w:r>
        <w:rPr>
          <w:lang w:val="fr-FR"/>
        </w:rPr>
        <w:t>ex</w:t>
      </w:r>
      <w:proofErr w:type="gramEnd"/>
      <w:r>
        <w:rPr>
          <w:lang w:val="fr-FR"/>
        </w:rPr>
        <w:t xml:space="preserve"> : les déserts médicaux   </w:t>
      </w:r>
    </w:p>
    <w:p w:rsidR="00DA3D81" w:rsidRDefault="00DA3D81" w:rsidP="00DA3D81">
      <w:pPr>
        <w:pStyle w:val="Paragrafoelenco"/>
        <w:ind w:left="1080"/>
        <w:rPr>
          <w:lang w:val="fr-FR"/>
        </w:rPr>
      </w:pPr>
      <w:proofErr w:type="gramStart"/>
      <w:r>
        <w:rPr>
          <w:lang w:val="fr-FR"/>
        </w:rPr>
        <w:t>ex</w:t>
      </w:r>
      <w:proofErr w:type="gramEnd"/>
      <w:r>
        <w:rPr>
          <w:lang w:val="fr-FR"/>
        </w:rPr>
        <w:t> : les DOM TOM</w:t>
      </w:r>
    </w:p>
    <w:p w:rsidR="00DA3D81" w:rsidRDefault="00DA3D81" w:rsidP="00DA3D81">
      <w:pPr>
        <w:pStyle w:val="Paragrafoelenco"/>
        <w:ind w:left="1080"/>
        <w:rPr>
          <w:lang w:val="fr-FR"/>
        </w:rPr>
      </w:pPr>
      <w:r w:rsidRPr="00DA3D81">
        <w:rPr>
          <w:lang w:val="fr-FR"/>
        </w:rPr>
        <w:t>La grande pauvreté* touche cinq à dix fois plus les départements d’</w:t>
      </w:r>
      <w:proofErr w:type="spellStart"/>
      <w:r w:rsidRPr="00DA3D81">
        <w:rPr>
          <w:lang w:val="fr-FR"/>
        </w:rPr>
        <w:t>outremer</w:t>
      </w:r>
      <w:proofErr w:type="spellEnd"/>
      <w:r w:rsidRPr="00DA3D81">
        <w:rPr>
          <w:lang w:val="fr-FR"/>
        </w:rPr>
        <w:t xml:space="preserve"> (DOM) que la métropole, selon les données de l’Insee pour l’année 2018[2]. Elle frappe plus de 10 % de la population guadeloupéenne, martiniquaise et réunionnaise et près de 30 % des Guyanais, contre 2 % des habitants de l’Hexagone. Les données ne sont pas disponibles dans le détail pour Mayotte, mais l’institut estime que trois quarts de la population de l’archipel vit dans la grande pauvreté.</w:t>
      </w:r>
    </w:p>
    <w:p w:rsidR="00DA3D81" w:rsidRPr="00DA3D81" w:rsidRDefault="00DA3D81" w:rsidP="00DA3D81">
      <w:pPr>
        <w:pStyle w:val="Paragrafoelenco"/>
        <w:ind w:left="1080"/>
        <w:rPr>
          <w:lang w:val="fr-FR"/>
        </w:rPr>
      </w:pPr>
    </w:p>
    <w:p w:rsidR="00224761" w:rsidRDefault="00224761" w:rsidP="00DA3D81">
      <w:pPr>
        <w:pStyle w:val="Paragrafoelenco"/>
        <w:ind w:left="1080"/>
        <w:rPr>
          <w:lang w:val="fr-FR"/>
        </w:rPr>
      </w:pPr>
      <w:proofErr w:type="gramStart"/>
      <w:r>
        <w:rPr>
          <w:lang w:val="fr-FR"/>
        </w:rPr>
        <w:t>ex</w:t>
      </w:r>
      <w:proofErr w:type="gramEnd"/>
      <w:r>
        <w:rPr>
          <w:lang w:val="fr-FR"/>
        </w:rPr>
        <w:t> : les banlieues</w:t>
      </w:r>
    </w:p>
    <w:p w:rsidR="00224761" w:rsidRDefault="0063694E" w:rsidP="002B727B">
      <w:pPr>
        <w:pStyle w:val="Paragrafoelenco"/>
        <w:numPr>
          <w:ilvl w:val="0"/>
          <w:numId w:val="3"/>
        </w:numPr>
        <w:rPr>
          <w:lang w:val="fr-FR"/>
        </w:rPr>
      </w:pPr>
      <w:r>
        <w:rPr>
          <w:lang w:val="fr-FR"/>
        </w:rPr>
        <w:t>Jeunes// personnes ^</w:t>
      </w:r>
      <w:proofErr w:type="spellStart"/>
      <w:r>
        <w:rPr>
          <w:lang w:val="fr-FR"/>
        </w:rPr>
        <w:t>agées</w:t>
      </w:r>
      <w:proofErr w:type="spellEnd"/>
    </w:p>
    <w:p w:rsidR="00DA3D81" w:rsidRDefault="00DA3D81" w:rsidP="00DA3D81">
      <w:pPr>
        <w:pStyle w:val="Paragrafoelenco"/>
        <w:ind w:left="1080"/>
        <w:rPr>
          <w:lang w:val="fr-FR"/>
        </w:rPr>
      </w:pPr>
      <w:r w:rsidRPr="00DA3D81">
        <w:rPr>
          <w:lang w:val="fr-FR"/>
        </w:rPr>
        <w:t>Précarité du travail des jeunes</w:t>
      </w:r>
      <w:r>
        <w:rPr>
          <w:lang w:val="fr-FR"/>
        </w:rPr>
        <w:t xml:space="preserve"> : </w:t>
      </w:r>
      <w:r w:rsidRPr="00DA3D81">
        <w:rPr>
          <w:lang w:val="fr-FR"/>
        </w:rPr>
        <w:t xml:space="preserve"> En 2020, 30 % des jeunes sortis depuis moins de cinq ans de formation initiale et qui travaillent ont un contrat précaire (CDD ou intérim). Ils étaient 33 % en 2010.</w:t>
      </w:r>
    </w:p>
    <w:p w:rsidR="00DA3D81" w:rsidRPr="00DA3D81" w:rsidRDefault="00DA3D81" w:rsidP="00DA3D81">
      <w:pPr>
        <w:pStyle w:val="Paragrafoelenco"/>
        <w:ind w:left="1080"/>
        <w:rPr>
          <w:lang w:val="fr-FR"/>
        </w:rPr>
      </w:pPr>
      <w:r>
        <w:rPr>
          <w:lang w:val="fr-FR"/>
        </w:rPr>
        <w:t xml:space="preserve">Abstention aux élections chez les jeunes. Chez </w:t>
      </w:r>
      <w:r w:rsidRPr="00DA3D81">
        <w:rPr>
          <w:lang w:val="fr-FR"/>
        </w:rPr>
        <w:t>les 65 ans ou plus, la part de votants qui s’abstiennent à tous les scrutins nationaux a peu évolué entre 2007 et 2022, autour de 15 %. Chez les électeurs de moins de 30 ans en revanche, le taux d’abstention systématique est passé de 11 % à 24 %.</w:t>
      </w:r>
    </w:p>
    <w:p w:rsidR="00F57BF2" w:rsidRPr="00F57BF2" w:rsidRDefault="00F57BF2">
      <w:pPr>
        <w:rPr>
          <w:lang w:val="fr-FR"/>
        </w:rPr>
      </w:pPr>
    </w:p>
    <w:p w:rsidR="00F05677" w:rsidRPr="00F57BF2" w:rsidRDefault="00F05677">
      <w:pPr>
        <w:rPr>
          <w:lang w:val="fr-FR"/>
        </w:rPr>
      </w:pPr>
    </w:p>
    <w:p w:rsidR="00F05677" w:rsidRPr="00F57BF2" w:rsidRDefault="00F05677">
      <w:pPr>
        <w:rPr>
          <w:lang w:val="fr-FR"/>
        </w:rPr>
      </w:pPr>
    </w:p>
    <w:p w:rsidR="00F05677" w:rsidRDefault="00F05677">
      <w:pPr>
        <w:rPr>
          <w:lang w:val="fr-FR"/>
        </w:rPr>
      </w:pPr>
      <w:r w:rsidRPr="00F05677">
        <w:rPr>
          <w:lang w:val="fr-FR"/>
        </w:rPr>
        <w:t>Les valeurs de la République f</w:t>
      </w:r>
      <w:r>
        <w:rPr>
          <w:lang w:val="fr-FR"/>
        </w:rPr>
        <w:t>rançaise « Liberté, égalité, fraternité »</w:t>
      </w:r>
    </w:p>
    <w:p w:rsidR="00F05677" w:rsidRDefault="00F05677">
      <w:pPr>
        <w:rPr>
          <w:lang w:val="fr-FR"/>
        </w:rPr>
      </w:pPr>
      <w:r>
        <w:rPr>
          <w:lang w:val="fr-FR"/>
        </w:rPr>
        <w:t>La problématique : Les valeurs de la République sont-elles appliquées aujourd’hui en France ?</w:t>
      </w:r>
    </w:p>
    <w:p w:rsidR="00F05677" w:rsidRDefault="00F05677" w:rsidP="00F05677">
      <w:pPr>
        <w:pStyle w:val="Paragrafoelenco"/>
        <w:numPr>
          <w:ilvl w:val="0"/>
          <w:numId w:val="1"/>
        </w:numPr>
        <w:rPr>
          <w:lang w:val="fr-FR"/>
        </w:rPr>
      </w:pPr>
      <w:r>
        <w:rPr>
          <w:lang w:val="fr-FR"/>
        </w:rPr>
        <w:t>La liberté</w:t>
      </w:r>
    </w:p>
    <w:p w:rsidR="00F57BF2" w:rsidRDefault="00F57BF2" w:rsidP="002B727B">
      <w:pPr>
        <w:pStyle w:val="Paragrafoelenco"/>
        <w:numPr>
          <w:ilvl w:val="0"/>
          <w:numId w:val="3"/>
        </w:numPr>
        <w:rPr>
          <w:lang w:val="fr-FR"/>
        </w:rPr>
      </w:pPr>
      <w:r>
        <w:rPr>
          <w:lang w:val="fr-FR"/>
        </w:rPr>
        <w:t xml:space="preserve">Un régime démocratique : le droit de vote, la liberté de </w:t>
      </w:r>
      <w:proofErr w:type="gramStart"/>
      <w:r>
        <w:rPr>
          <w:lang w:val="fr-FR"/>
        </w:rPr>
        <w:t>penser….</w:t>
      </w:r>
      <w:proofErr w:type="gramEnd"/>
      <w:r>
        <w:rPr>
          <w:lang w:val="fr-FR"/>
        </w:rPr>
        <w:t>.</w:t>
      </w:r>
    </w:p>
    <w:p w:rsidR="00F05677" w:rsidRDefault="00F57BF2" w:rsidP="002B727B">
      <w:pPr>
        <w:pStyle w:val="Paragrafoelenco"/>
        <w:numPr>
          <w:ilvl w:val="0"/>
          <w:numId w:val="3"/>
        </w:numPr>
        <w:rPr>
          <w:lang w:val="fr-FR"/>
        </w:rPr>
      </w:pPr>
      <w:r>
        <w:rPr>
          <w:lang w:val="fr-FR"/>
        </w:rPr>
        <w:t>La liberté d’expression est garantie par des lois : la déclaration des droits de l’homme et du citoyen/ la loi sur la liberté de la presse 1881</w:t>
      </w:r>
    </w:p>
    <w:p w:rsidR="00F57BF2" w:rsidRDefault="00F57BF2" w:rsidP="002B727B">
      <w:pPr>
        <w:pStyle w:val="Paragrafoelenco"/>
        <w:numPr>
          <w:ilvl w:val="0"/>
          <w:numId w:val="3"/>
        </w:numPr>
        <w:rPr>
          <w:lang w:val="fr-FR"/>
        </w:rPr>
      </w:pPr>
      <w:r>
        <w:rPr>
          <w:lang w:val="fr-FR"/>
        </w:rPr>
        <w:t xml:space="preserve">La liberté de manifester est limitée </w:t>
      </w:r>
    </w:p>
    <w:p w:rsidR="00F57BF2" w:rsidRDefault="00F57BF2" w:rsidP="002B727B">
      <w:pPr>
        <w:pStyle w:val="Paragrafoelenco"/>
        <w:numPr>
          <w:ilvl w:val="0"/>
          <w:numId w:val="3"/>
        </w:numPr>
        <w:rPr>
          <w:lang w:val="fr-FR"/>
        </w:rPr>
      </w:pPr>
      <w:r>
        <w:rPr>
          <w:lang w:val="fr-FR"/>
        </w:rPr>
        <w:t>Ex : les manifestations des gilets jaunes interdites</w:t>
      </w:r>
    </w:p>
    <w:p w:rsidR="00F05677" w:rsidRDefault="00F05677" w:rsidP="00F05677">
      <w:pPr>
        <w:pStyle w:val="Paragrafoelenco"/>
        <w:numPr>
          <w:ilvl w:val="0"/>
          <w:numId w:val="1"/>
        </w:numPr>
        <w:rPr>
          <w:lang w:val="fr-FR"/>
        </w:rPr>
      </w:pPr>
      <w:r>
        <w:rPr>
          <w:lang w:val="fr-FR"/>
        </w:rPr>
        <w:t>L’égalité</w:t>
      </w:r>
    </w:p>
    <w:p w:rsidR="00F57BF2" w:rsidRDefault="00F57BF2" w:rsidP="002B727B">
      <w:pPr>
        <w:pStyle w:val="Paragrafoelenco"/>
        <w:numPr>
          <w:ilvl w:val="0"/>
          <w:numId w:val="3"/>
        </w:numPr>
        <w:rPr>
          <w:lang w:val="fr-FR"/>
        </w:rPr>
      </w:pPr>
      <w:r>
        <w:rPr>
          <w:lang w:val="fr-FR"/>
        </w:rPr>
        <w:t>Riches et pauvres</w:t>
      </w:r>
    </w:p>
    <w:p w:rsidR="00F57BF2" w:rsidRDefault="00F57BF2" w:rsidP="002B727B">
      <w:pPr>
        <w:pStyle w:val="Paragrafoelenco"/>
        <w:numPr>
          <w:ilvl w:val="0"/>
          <w:numId w:val="3"/>
        </w:numPr>
        <w:rPr>
          <w:lang w:val="fr-FR"/>
        </w:rPr>
      </w:pPr>
      <w:r>
        <w:rPr>
          <w:lang w:val="fr-FR"/>
        </w:rPr>
        <w:t>Blancs et noirs</w:t>
      </w:r>
    </w:p>
    <w:p w:rsidR="00F57BF2" w:rsidRDefault="00F57BF2" w:rsidP="002B727B">
      <w:pPr>
        <w:pStyle w:val="Paragrafoelenco"/>
        <w:numPr>
          <w:ilvl w:val="0"/>
          <w:numId w:val="3"/>
        </w:numPr>
        <w:rPr>
          <w:lang w:val="fr-FR"/>
        </w:rPr>
      </w:pPr>
    </w:p>
    <w:p w:rsidR="00F05677" w:rsidRPr="00F05677" w:rsidRDefault="00F05677" w:rsidP="00F05677">
      <w:pPr>
        <w:pStyle w:val="Paragrafoelenco"/>
        <w:numPr>
          <w:ilvl w:val="0"/>
          <w:numId w:val="1"/>
        </w:numPr>
        <w:rPr>
          <w:lang w:val="fr-FR"/>
        </w:rPr>
      </w:pPr>
      <w:r>
        <w:rPr>
          <w:lang w:val="fr-FR"/>
        </w:rPr>
        <w:t>La fraternité</w:t>
      </w:r>
    </w:p>
    <w:sectPr w:rsidR="00F05677" w:rsidRPr="00F056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243"/>
    <w:multiLevelType w:val="hybridMultilevel"/>
    <w:tmpl w:val="3208C8C6"/>
    <w:lvl w:ilvl="0" w:tplc="2C30723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24D37CBC"/>
    <w:multiLevelType w:val="hybridMultilevel"/>
    <w:tmpl w:val="08B685E0"/>
    <w:lvl w:ilvl="0" w:tplc="4822C8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FE2EFF"/>
    <w:multiLevelType w:val="hybridMultilevel"/>
    <w:tmpl w:val="50B4A262"/>
    <w:lvl w:ilvl="0" w:tplc="1506E712">
      <w:start w:val="1"/>
      <w:numFmt w:val="decimal"/>
      <w:lvlText w:val="%1-"/>
      <w:lvlJc w:val="left"/>
      <w:pPr>
        <w:ind w:left="1080" w:hanging="360"/>
      </w:pPr>
      <w:rPr>
        <w:rFonts w:asciiTheme="minorHAnsi" w:eastAsiaTheme="minorEastAsia" w:hAnsiTheme="minorHAns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77"/>
    <w:rsid w:val="00122D61"/>
    <w:rsid w:val="00224761"/>
    <w:rsid w:val="00263057"/>
    <w:rsid w:val="002B727B"/>
    <w:rsid w:val="005A2B3A"/>
    <w:rsid w:val="0063694E"/>
    <w:rsid w:val="00861346"/>
    <w:rsid w:val="00B3004F"/>
    <w:rsid w:val="00DA3D81"/>
    <w:rsid w:val="00F05677"/>
    <w:rsid w:val="00F57BF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5338"/>
  <w15:chartTrackingRefBased/>
  <w15:docId w15:val="{DD29792F-2200-42A0-BDD3-033C07EF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05677"/>
    <w:pPr>
      <w:ind w:left="720"/>
      <w:contextualSpacing/>
    </w:pPr>
  </w:style>
  <w:style w:type="character" w:styleId="Enfasigrassetto">
    <w:name w:val="Strong"/>
    <w:basedOn w:val="Carpredefinitoparagrafo"/>
    <w:uiPriority w:val="22"/>
    <w:qFormat/>
    <w:rsid w:val="00224761"/>
    <w:rPr>
      <w:b/>
      <w:bCs/>
    </w:rPr>
  </w:style>
  <w:style w:type="character" w:styleId="Collegamentoipertestuale">
    <w:name w:val="Hyperlink"/>
    <w:basedOn w:val="Carpredefinitoparagrafo"/>
    <w:uiPriority w:val="99"/>
    <w:unhideWhenUsed/>
    <w:rsid w:val="00122D61"/>
    <w:rPr>
      <w:color w:val="0563C1" w:themeColor="hyperlink"/>
      <w:u w:val="single"/>
    </w:rPr>
  </w:style>
  <w:style w:type="character" w:styleId="Menzionenonrisolta">
    <w:name w:val="Unresolved Mention"/>
    <w:basedOn w:val="Carpredefinitoparagrafo"/>
    <w:uiPriority w:val="99"/>
    <w:semiHidden/>
    <w:unhideWhenUsed/>
    <w:rsid w:val="0012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162195">
      <w:bodyDiv w:val="1"/>
      <w:marLeft w:val="0"/>
      <w:marRight w:val="0"/>
      <w:marTop w:val="0"/>
      <w:marBottom w:val="0"/>
      <w:divBdr>
        <w:top w:val="none" w:sz="0" w:space="0" w:color="auto"/>
        <w:left w:val="none" w:sz="0" w:space="0" w:color="auto"/>
        <w:bottom w:val="none" w:sz="0" w:space="0" w:color="auto"/>
        <w:right w:val="none" w:sz="0" w:space="0" w:color="auto"/>
      </w:divBdr>
    </w:div>
    <w:div w:id="1305812855">
      <w:bodyDiv w:val="1"/>
      <w:marLeft w:val="0"/>
      <w:marRight w:val="0"/>
      <w:marTop w:val="0"/>
      <w:marBottom w:val="0"/>
      <w:divBdr>
        <w:top w:val="none" w:sz="0" w:space="0" w:color="auto"/>
        <w:left w:val="none" w:sz="0" w:space="0" w:color="auto"/>
        <w:bottom w:val="none" w:sz="0" w:space="0" w:color="auto"/>
        <w:right w:val="none" w:sz="0" w:space="0" w:color="auto"/>
      </w:divBdr>
      <w:divsChild>
        <w:div w:id="1313482624">
          <w:marLeft w:val="0"/>
          <w:marRight w:val="0"/>
          <w:marTop w:val="1050"/>
          <w:marBottom w:val="450"/>
          <w:divBdr>
            <w:top w:val="none" w:sz="0" w:space="0" w:color="auto"/>
            <w:left w:val="none" w:sz="0" w:space="0" w:color="auto"/>
            <w:bottom w:val="none" w:sz="0" w:space="0" w:color="auto"/>
            <w:right w:val="none" w:sz="0" w:space="0" w:color="auto"/>
          </w:divBdr>
        </w:div>
        <w:div w:id="2141651433">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ianne.net/societe/12-millions-de-pauvres-et-les-aides-sociales-a-l-arret-les-sombres-previsions-de-la-precarite-sociale-en-fran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543</Words>
  <Characters>3100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2026-04-22T08:09:00Z</dcterms:created>
  <dcterms:modified xsi:type="dcterms:W3CDTF">2026-04-22T08:09:00Z</dcterms:modified>
</cp:coreProperties>
</file>