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0F9C2" w14:textId="10DC58AB" w:rsidR="00582BEC" w:rsidRPr="00A03D77" w:rsidRDefault="00861C6D" w:rsidP="00A03D77">
      <w:pPr>
        <w:jc w:val="center"/>
        <w:rPr>
          <w:rFonts w:ascii="Cambria" w:hAnsi="Cambria"/>
          <w:color w:val="FF0000"/>
          <w:sz w:val="32"/>
          <w:szCs w:val="32"/>
        </w:rPr>
      </w:pPr>
      <w:r w:rsidRPr="00A03D77">
        <w:rPr>
          <w:rFonts w:ascii="Cambria" w:hAnsi="Cambria"/>
          <w:color w:val="FF0000"/>
          <w:sz w:val="32"/>
          <w:szCs w:val="32"/>
        </w:rPr>
        <w:t>Mémoire et histoire</w:t>
      </w:r>
    </w:p>
    <w:p w14:paraId="1F21549D" w14:textId="77777777" w:rsidR="001C7148" w:rsidRPr="001C7148" w:rsidRDefault="001C7148">
      <w:pPr>
        <w:rPr>
          <w:rFonts w:ascii="Cambria" w:hAnsi="Cambria"/>
          <w:b/>
          <w:bCs/>
          <w:sz w:val="24"/>
          <w:szCs w:val="24"/>
        </w:rPr>
      </w:pPr>
      <w:r w:rsidRPr="001C7148">
        <w:rPr>
          <w:rFonts w:ascii="Cambria" w:hAnsi="Cambria"/>
          <w:b/>
          <w:bCs/>
          <w:sz w:val="24"/>
          <w:szCs w:val="24"/>
        </w:rPr>
        <w:t>DOC 1</w:t>
      </w:r>
    </w:p>
    <w:p w14:paraId="3C2F892D" w14:textId="043923DC" w:rsidR="00861C6D" w:rsidRPr="00A03D77" w:rsidRDefault="00861C6D">
      <w:pPr>
        <w:rPr>
          <w:rFonts w:ascii="Cambria" w:hAnsi="Cambria"/>
          <w:sz w:val="24"/>
          <w:szCs w:val="24"/>
        </w:rPr>
      </w:pPr>
      <w:r w:rsidRPr="00A03D77">
        <w:rPr>
          <w:rFonts w:ascii="Cambria" w:hAnsi="Cambria"/>
          <w:sz w:val="24"/>
          <w:szCs w:val="24"/>
        </w:rPr>
        <w:t>https://www.inserm.fr/dossier/memoire/#:~:text=La%20m%C3%A9moire%20permet%20d'enregistrer,de%20multiples%20formes%20de%20m%C3%A9morisation.</w:t>
      </w:r>
    </w:p>
    <w:p w14:paraId="1A4716E7" w14:textId="77777777" w:rsidR="00861C6D" w:rsidRPr="00A03D77" w:rsidRDefault="00861C6D" w:rsidP="00861C6D">
      <w:pPr>
        <w:shd w:val="clear" w:color="auto" w:fill="FFFFFF"/>
        <w:spacing w:before="100" w:beforeAutospacing="1" w:after="100" w:afterAutospacing="1" w:line="240" w:lineRule="auto"/>
        <w:outlineLvl w:val="2"/>
        <w:rPr>
          <w:rFonts w:ascii="Cambria" w:eastAsia="Times New Roman" w:hAnsi="Cambria" w:cs="Open Sans"/>
          <w:b/>
          <w:bCs/>
          <w:color w:val="333333"/>
          <w:kern w:val="0"/>
          <w:sz w:val="24"/>
          <w:szCs w:val="24"/>
          <w:lang w:eastAsia="fr-FR"/>
          <w14:ligatures w14:val="none"/>
        </w:rPr>
      </w:pPr>
      <w:r w:rsidRPr="00A03D77">
        <w:rPr>
          <w:rFonts w:ascii="Cambria" w:eastAsia="Times New Roman" w:hAnsi="Cambria" w:cs="Open Sans"/>
          <w:b/>
          <w:bCs/>
          <w:color w:val="333333"/>
          <w:kern w:val="0"/>
          <w:sz w:val="24"/>
          <w:szCs w:val="24"/>
          <w:lang w:eastAsia="fr-FR"/>
          <w14:ligatures w14:val="none"/>
        </w:rPr>
        <w:t>Ma mémoire et celle des autres</w:t>
      </w:r>
    </w:p>
    <w:p w14:paraId="344654A4" w14:textId="77777777" w:rsidR="00861C6D" w:rsidRPr="00A03D77" w:rsidRDefault="00861C6D" w:rsidP="00861C6D">
      <w:pPr>
        <w:shd w:val="clear" w:color="auto" w:fill="FFFFFF"/>
        <w:spacing w:before="100" w:beforeAutospacing="1" w:after="100" w:afterAutospacing="1" w:line="240" w:lineRule="auto"/>
        <w:rPr>
          <w:rFonts w:ascii="Cambria" w:eastAsia="Times New Roman" w:hAnsi="Cambria" w:cs="Open Sans"/>
          <w:color w:val="333333"/>
          <w:kern w:val="0"/>
          <w:sz w:val="24"/>
          <w:szCs w:val="24"/>
          <w:lang w:eastAsia="fr-FR"/>
          <w14:ligatures w14:val="none"/>
        </w:rPr>
      </w:pPr>
      <w:r w:rsidRPr="00A03D77">
        <w:rPr>
          <w:rFonts w:ascii="Cambria" w:eastAsia="Times New Roman" w:hAnsi="Cambria" w:cs="Open Sans"/>
          <w:color w:val="333333"/>
          <w:kern w:val="0"/>
          <w:sz w:val="24"/>
          <w:szCs w:val="24"/>
          <w:lang w:eastAsia="fr-FR"/>
          <w14:ligatures w14:val="none"/>
        </w:rPr>
        <w:t>La mémoire a longtemps été considérée comme individuelle et étudiée comme telle. Cette approche est aujourd’hui caduque, ou du moins incomplète. Le souvenir se situe en effet à l’interface entre l’identité personnelle et les représentations collectives : il se constitue à partir des interactions entre la personne, les autres et l’environnement. Il ne peut être détaché du contexte social dans lequel il prend place. Les interactions, mais aussi les représentations sociales et les stéréotypes influencent le fonctionnement de notre mémoire. </w:t>
      </w:r>
    </w:p>
    <w:p w14:paraId="0929DE50" w14:textId="0ECBAB4C" w:rsidR="00861C6D" w:rsidRPr="00A03D77" w:rsidRDefault="00861C6D" w:rsidP="00861C6D">
      <w:pPr>
        <w:shd w:val="clear" w:color="auto" w:fill="FFFFFF"/>
        <w:spacing w:before="100" w:beforeAutospacing="1" w:after="100" w:afterAutospacing="1" w:line="240" w:lineRule="auto"/>
        <w:rPr>
          <w:rFonts w:ascii="Cambria" w:eastAsia="Times New Roman" w:hAnsi="Cambria" w:cs="Open Sans"/>
          <w:color w:val="333333"/>
          <w:kern w:val="0"/>
          <w:sz w:val="24"/>
          <w:szCs w:val="24"/>
          <w:lang w:eastAsia="fr-FR"/>
          <w14:ligatures w14:val="none"/>
        </w:rPr>
      </w:pPr>
      <w:r w:rsidRPr="00A03D77">
        <w:rPr>
          <w:rFonts w:ascii="Cambria" w:eastAsia="Times New Roman" w:hAnsi="Cambria" w:cs="Open Sans"/>
          <w:color w:val="333333"/>
          <w:kern w:val="0"/>
          <w:sz w:val="24"/>
          <w:szCs w:val="24"/>
          <w:lang w:eastAsia="fr-FR"/>
          <w14:ligatures w14:val="none"/>
        </w:rPr>
        <w:t>On parle de </w:t>
      </w:r>
      <w:r w:rsidRPr="00A03D77">
        <w:rPr>
          <w:rFonts w:ascii="Cambria" w:eastAsia="Times New Roman" w:hAnsi="Cambria" w:cs="Open Sans"/>
          <w:b/>
          <w:bCs/>
          <w:color w:val="333333"/>
          <w:kern w:val="0"/>
          <w:sz w:val="24"/>
          <w:szCs w:val="24"/>
          <w:lang w:eastAsia="fr-FR"/>
          <w14:ligatures w14:val="none"/>
        </w:rPr>
        <w:t>cognition sociale</w:t>
      </w:r>
      <w:r w:rsidRPr="00A03D77">
        <w:rPr>
          <w:rFonts w:ascii="Cambria" w:eastAsia="Times New Roman" w:hAnsi="Cambria" w:cs="Open Sans"/>
          <w:color w:val="333333"/>
          <w:kern w:val="0"/>
          <w:sz w:val="24"/>
          <w:szCs w:val="24"/>
          <w:lang w:eastAsia="fr-FR"/>
          <w14:ligatures w14:val="none"/>
        </w:rPr>
        <w:t> : elle permet, par exemple, d’adapter son comportement selon le contexte dans lequel on se trouve, et cela grâce à la mémorisation et l’analyse des expériences passées. L’</w:t>
      </w:r>
      <w:r w:rsidRPr="00A03D77">
        <w:rPr>
          <w:rFonts w:ascii="Cambria" w:eastAsia="Times New Roman" w:hAnsi="Cambria" w:cs="Open Sans"/>
          <w:b/>
          <w:bCs/>
          <w:color w:val="333333"/>
          <w:kern w:val="0"/>
          <w:sz w:val="24"/>
          <w:szCs w:val="24"/>
          <w:lang w:eastAsia="fr-FR"/>
          <w14:ligatures w14:val="none"/>
        </w:rPr>
        <w:t>empathie</w:t>
      </w:r>
      <w:r w:rsidRPr="00A03D77">
        <w:rPr>
          <w:rFonts w:ascii="Cambria" w:eastAsia="Times New Roman" w:hAnsi="Cambria" w:cs="Open Sans"/>
          <w:color w:val="333333"/>
          <w:kern w:val="0"/>
          <w:sz w:val="24"/>
          <w:szCs w:val="24"/>
          <w:lang w:eastAsia="fr-FR"/>
          <w14:ligatures w14:val="none"/>
        </w:rPr>
        <w:t> découle également de cette notion interindividuelle de la mémoire : elle utilise notamment les informations de la mémoire épisodique afin de permettre un « voyage de l’esprit » se traduisant en capacité à partager la détresse de l’autre. Aussi appelée « </w:t>
      </w:r>
      <w:r w:rsidRPr="00A03D77">
        <w:rPr>
          <w:rFonts w:ascii="Cambria" w:eastAsia="Times New Roman" w:hAnsi="Cambria" w:cs="Open Sans"/>
          <w:b/>
          <w:bCs/>
          <w:color w:val="333333"/>
          <w:kern w:val="0"/>
          <w:sz w:val="24"/>
          <w:szCs w:val="24"/>
          <w:lang w:eastAsia="fr-FR"/>
          <w14:ligatures w14:val="none"/>
        </w:rPr>
        <w:t>théorie de l’esprit</w:t>
      </w:r>
      <w:r w:rsidRPr="00A03D77">
        <w:rPr>
          <w:rFonts w:ascii="Cambria" w:eastAsia="Times New Roman" w:hAnsi="Cambria" w:cs="Open Sans"/>
          <w:color w:val="333333"/>
          <w:kern w:val="0"/>
          <w:sz w:val="24"/>
          <w:szCs w:val="24"/>
          <w:lang w:eastAsia="fr-FR"/>
          <w14:ligatures w14:val="none"/>
        </w:rPr>
        <w:t xml:space="preserve"> », cette capacité à se mettre à la place de quelqu’un et à imaginer et interpréter ses pensées fait appel à nos mémoires dont nous décentrons l’objet. </w:t>
      </w:r>
    </w:p>
    <w:p w14:paraId="26426886" w14:textId="77777777" w:rsidR="00861C6D" w:rsidRPr="00A03D77" w:rsidRDefault="00861C6D" w:rsidP="00861C6D">
      <w:pPr>
        <w:shd w:val="clear" w:color="auto" w:fill="FFFFFF"/>
        <w:spacing w:before="100" w:beforeAutospacing="1" w:after="100" w:afterAutospacing="1" w:line="240" w:lineRule="auto"/>
        <w:rPr>
          <w:rFonts w:ascii="Cambria" w:eastAsia="Times New Roman" w:hAnsi="Cambria" w:cs="Open Sans"/>
          <w:color w:val="333333"/>
          <w:kern w:val="0"/>
          <w:sz w:val="24"/>
          <w:szCs w:val="24"/>
          <w:lang w:eastAsia="fr-FR"/>
          <w14:ligatures w14:val="none"/>
        </w:rPr>
      </w:pPr>
      <w:r w:rsidRPr="00A03D77">
        <w:rPr>
          <w:rFonts w:ascii="Cambria" w:eastAsia="Times New Roman" w:hAnsi="Cambria" w:cs="Open Sans"/>
          <w:color w:val="333333"/>
          <w:kern w:val="0"/>
          <w:sz w:val="24"/>
          <w:szCs w:val="24"/>
          <w:lang w:eastAsia="fr-FR"/>
          <w14:ligatures w14:val="none"/>
        </w:rPr>
        <w:t>Par ailleurs, sur un plan plus large, il existe aussi une </w:t>
      </w:r>
      <w:r w:rsidRPr="00A03D77">
        <w:rPr>
          <w:rFonts w:ascii="Cambria" w:eastAsia="Times New Roman" w:hAnsi="Cambria" w:cs="Open Sans"/>
          <w:b/>
          <w:bCs/>
          <w:color w:val="333333"/>
          <w:kern w:val="0"/>
          <w:sz w:val="24"/>
          <w:szCs w:val="24"/>
          <w:lang w:eastAsia="fr-FR"/>
          <w14:ligatures w14:val="none"/>
        </w:rPr>
        <w:t>mémoire collective ou culturelle</w:t>
      </w:r>
      <w:r w:rsidRPr="00A03D77">
        <w:rPr>
          <w:rFonts w:ascii="Cambria" w:eastAsia="Times New Roman" w:hAnsi="Cambria" w:cs="Open Sans"/>
          <w:color w:val="333333"/>
          <w:kern w:val="0"/>
          <w:sz w:val="24"/>
          <w:szCs w:val="24"/>
          <w:lang w:eastAsia="fr-FR"/>
          <w14:ligatures w14:val="none"/>
        </w:rPr>
        <w:t>, celle qui prend place autour des évènements historiques (autour de leur évocation ou de leur commémoration) et des évènements contemporains médiatisés. Il s’agit d’une mémoire partagée constituée des différentes représentations de l’évènement par l’ensemble des personnes. </w:t>
      </w:r>
    </w:p>
    <w:p w14:paraId="7EC7A6FB" w14:textId="77777777" w:rsidR="00861C6D" w:rsidRPr="00A03D77" w:rsidRDefault="00000000" w:rsidP="00861C6D">
      <w:pPr>
        <w:shd w:val="clear" w:color="auto" w:fill="F6F6F6"/>
        <w:spacing w:after="0" w:line="240" w:lineRule="auto"/>
        <w:rPr>
          <w:rFonts w:ascii="Cambria" w:eastAsia="Times New Roman" w:hAnsi="Cambria" w:cs="Open Sans"/>
          <w:color w:val="333333"/>
          <w:kern w:val="0"/>
          <w:sz w:val="24"/>
          <w:szCs w:val="24"/>
          <w:lang w:eastAsia="fr-FR"/>
          <w14:ligatures w14:val="none"/>
        </w:rPr>
      </w:pPr>
      <w:r>
        <w:rPr>
          <w:rFonts w:ascii="Cambria" w:eastAsia="Times New Roman" w:hAnsi="Cambria" w:cs="Open Sans"/>
          <w:color w:val="333333"/>
          <w:kern w:val="0"/>
          <w:sz w:val="24"/>
          <w:szCs w:val="24"/>
          <w:lang w:eastAsia="fr-FR"/>
          <w14:ligatures w14:val="none"/>
        </w:rPr>
        <w:pict w14:anchorId="26F4D975">
          <v:rect id="_x0000_i1025" style="width:75pt;height:0" o:hrpct="0" o:hralign="center" o:hrstd="t" o:hrnoshade="t" o:hr="t" fillcolor="#bebebe" stroked="f"/>
        </w:pict>
      </w:r>
    </w:p>
    <w:p w14:paraId="4C5DECF5" w14:textId="77777777" w:rsidR="00861C6D" w:rsidRPr="00A03D77" w:rsidRDefault="00861C6D" w:rsidP="00861C6D">
      <w:pPr>
        <w:shd w:val="clear" w:color="auto" w:fill="F6F6F6"/>
        <w:spacing w:before="100" w:beforeAutospacing="1" w:after="100" w:afterAutospacing="1" w:line="240" w:lineRule="auto"/>
        <w:outlineLvl w:val="3"/>
        <w:rPr>
          <w:rFonts w:ascii="Cambria" w:eastAsia="Times New Roman" w:hAnsi="Cambria" w:cs="Open Sans"/>
          <w:b/>
          <w:bCs/>
          <w:color w:val="333333"/>
          <w:kern w:val="0"/>
          <w:sz w:val="20"/>
          <w:szCs w:val="20"/>
          <w:lang w:eastAsia="fr-FR"/>
          <w14:ligatures w14:val="none"/>
        </w:rPr>
      </w:pPr>
      <w:r w:rsidRPr="00A03D77">
        <w:rPr>
          <w:rFonts w:ascii="Cambria" w:eastAsia="Times New Roman" w:hAnsi="Cambria" w:cs="Open Sans"/>
          <w:b/>
          <w:bCs/>
          <w:color w:val="333333"/>
          <w:kern w:val="0"/>
          <w:sz w:val="20"/>
          <w:szCs w:val="20"/>
          <w:lang w:eastAsia="fr-FR"/>
          <w14:ligatures w14:val="none"/>
        </w:rPr>
        <w:t>Sonder la mémoire individuelle et collective des attentats</w:t>
      </w:r>
    </w:p>
    <w:p w14:paraId="4A5863EC" w14:textId="77777777" w:rsidR="00861C6D" w:rsidRPr="00A03D77" w:rsidRDefault="00861C6D" w:rsidP="00861C6D">
      <w:pPr>
        <w:shd w:val="clear" w:color="auto" w:fill="F6F6F6"/>
        <w:spacing w:before="100" w:beforeAutospacing="1" w:after="100" w:afterAutospacing="1" w:line="240" w:lineRule="auto"/>
        <w:rPr>
          <w:rFonts w:ascii="Cambria" w:eastAsia="Times New Roman" w:hAnsi="Cambria" w:cs="Open Sans"/>
          <w:color w:val="333333"/>
          <w:kern w:val="0"/>
          <w:sz w:val="20"/>
          <w:szCs w:val="20"/>
          <w:lang w:eastAsia="fr-FR"/>
          <w14:ligatures w14:val="none"/>
        </w:rPr>
      </w:pPr>
      <w:r w:rsidRPr="00A03D77">
        <w:rPr>
          <w:rFonts w:ascii="Cambria" w:eastAsia="Times New Roman" w:hAnsi="Cambria" w:cs="Open Sans"/>
          <w:color w:val="333333"/>
          <w:kern w:val="0"/>
          <w:sz w:val="20"/>
          <w:szCs w:val="20"/>
          <w:lang w:eastAsia="fr-FR"/>
          <w14:ligatures w14:val="none"/>
        </w:rPr>
        <w:t>Le </w:t>
      </w:r>
      <w:hyperlink r:id="rId5" w:tgtFrame="_self" w:tooltip="programme 13-Novembre (lien externe)" w:history="1">
        <w:r w:rsidRPr="00A03D77">
          <w:rPr>
            <w:rFonts w:ascii="Cambria" w:eastAsia="Times New Roman" w:hAnsi="Cambria" w:cs="Open Sans"/>
            <w:color w:val="333333"/>
            <w:kern w:val="0"/>
            <w:sz w:val="20"/>
            <w:szCs w:val="20"/>
            <w:u w:val="single"/>
            <w:lang w:eastAsia="fr-FR"/>
            <w14:ligatures w14:val="none"/>
          </w:rPr>
          <w:t>programme 13-Novembre</w:t>
        </w:r>
      </w:hyperlink>
      <w:r w:rsidRPr="00A03D77">
        <w:rPr>
          <w:rFonts w:ascii="Cambria" w:eastAsia="Times New Roman" w:hAnsi="Cambria" w:cs="Open Sans"/>
          <w:color w:val="333333"/>
          <w:kern w:val="0"/>
          <w:sz w:val="20"/>
          <w:szCs w:val="20"/>
          <w:lang w:eastAsia="fr-FR"/>
          <w14:ligatures w14:val="none"/>
        </w:rPr>
        <w:t xml:space="preserve">, mené par des chercheurs de l’Inserm et du CNRS, associe différents volets de recherche transdisciplinaire autour du témoignages recueillis sur les attentats du 13 novembre 2015. Il cherche à évaluer comment le souvenir traumatique des attentats évolue dans les mémoires individuelles et collectives, comment les deux fonctionnent en interaction et quels sont les facteurs de vulnérabilité face à l’ESPT. À quatre reprises durant dix ans, les témoignages et les éventuels troubles (ESPT, images envahissantes, dépression…) de 1 000 personnes volontaires seront analysés selon leur proximité avec les attentats : cette cohorte rassemble des personnes exposées directement (survivants, témoins, familles), indirectement (habitants des quartiers des attentats) ainsi que des habitants franciliens ou non franciliens. Ces données seront recueillies parallèlement à une analyse de l’opinion des français sur le sujet, ainsi qu’une analyse du discours et de la </w:t>
      </w:r>
      <w:proofErr w:type="spellStart"/>
      <w:r w:rsidRPr="00A03D77">
        <w:rPr>
          <w:rFonts w:ascii="Cambria" w:eastAsia="Times New Roman" w:hAnsi="Cambria" w:cs="Open Sans"/>
          <w:color w:val="333333"/>
          <w:kern w:val="0"/>
          <w:sz w:val="20"/>
          <w:szCs w:val="20"/>
          <w:lang w:eastAsia="fr-FR"/>
          <w14:ligatures w14:val="none"/>
        </w:rPr>
        <w:t>textométrie</w:t>
      </w:r>
      <w:proofErr w:type="spellEnd"/>
      <w:r w:rsidRPr="00A03D77">
        <w:rPr>
          <w:rFonts w:ascii="Cambria" w:eastAsia="Times New Roman" w:hAnsi="Cambria" w:cs="Open Sans"/>
          <w:color w:val="333333"/>
          <w:kern w:val="0"/>
          <w:sz w:val="20"/>
          <w:szCs w:val="20"/>
          <w:lang w:eastAsia="fr-FR"/>
          <w14:ligatures w14:val="none"/>
        </w:rPr>
        <w:t xml:space="preserve"> des informations télévisuelles ou radiophoniques liés à ces évènements, afin d’en identifier les interactions. </w:t>
      </w:r>
    </w:p>
    <w:p w14:paraId="673D2E82" w14:textId="2FDCF48B" w:rsidR="00A03D77" w:rsidRPr="00A03D77" w:rsidRDefault="00A03D77">
      <w:pPr>
        <w:rPr>
          <w:rFonts w:ascii="Cambria" w:hAnsi="Cambria"/>
          <w:sz w:val="24"/>
          <w:szCs w:val="24"/>
        </w:rPr>
      </w:pPr>
      <w:r w:rsidRPr="00A03D77">
        <w:rPr>
          <w:rFonts w:ascii="Cambria" w:hAnsi="Cambria"/>
          <w:sz w:val="24"/>
          <w:szCs w:val="24"/>
        </w:rPr>
        <w:br w:type="page"/>
      </w:r>
    </w:p>
    <w:p w14:paraId="122E0115" w14:textId="1173AA35" w:rsidR="001C7148" w:rsidRPr="001C7148" w:rsidRDefault="001C7148" w:rsidP="00A03D77">
      <w:pPr>
        <w:shd w:val="clear" w:color="auto" w:fill="FAFAFA"/>
        <w:spacing w:after="0" w:line="240" w:lineRule="auto"/>
        <w:outlineLvl w:val="1"/>
        <w:rPr>
          <w:b/>
          <w:bCs/>
        </w:rPr>
      </w:pPr>
      <w:r w:rsidRPr="001C7148">
        <w:rPr>
          <w:b/>
          <w:bCs/>
        </w:rPr>
        <w:lastRenderedPageBreak/>
        <w:t>DOC 2</w:t>
      </w:r>
    </w:p>
    <w:p w14:paraId="7A49E5B8" w14:textId="5F73F37B" w:rsidR="00A03D77" w:rsidRPr="00A03D77" w:rsidRDefault="001C7148" w:rsidP="00A03D77">
      <w:pPr>
        <w:shd w:val="clear" w:color="auto" w:fill="FAFAFA"/>
        <w:spacing w:after="0" w:line="240" w:lineRule="auto"/>
        <w:outlineLvl w:val="1"/>
        <w:rPr>
          <w:rFonts w:ascii="Cambria" w:eastAsia="Times New Roman" w:hAnsi="Cambria" w:cs="Times New Roman"/>
          <w:color w:val="181B1F"/>
          <w:kern w:val="0"/>
          <w:sz w:val="24"/>
          <w:szCs w:val="24"/>
          <w:lang w:eastAsia="fr-FR"/>
          <w14:ligatures w14:val="none"/>
        </w:rPr>
      </w:pPr>
      <w:hyperlink r:id="rId6" w:history="1">
        <w:r w:rsidRPr="0059461B">
          <w:rPr>
            <w:rStyle w:val="Lienhypertexte"/>
            <w:rFonts w:ascii="Cambria" w:eastAsia="Times New Roman" w:hAnsi="Cambria" w:cs="Times New Roman"/>
            <w:kern w:val="0"/>
            <w:sz w:val="24"/>
            <w:szCs w:val="24"/>
            <w:lang w:eastAsia="fr-FR"/>
            <w14:ligatures w14:val="none"/>
          </w:rPr>
          <w:t>https://www.radiofrance.fr/sujets/travail-devoir-memoire#taxonomy_body</w:t>
        </w:r>
      </w:hyperlink>
    </w:p>
    <w:p w14:paraId="63EC62B4" w14:textId="47469834" w:rsidR="00A03D77" w:rsidRPr="00A03D77" w:rsidRDefault="00A03D77" w:rsidP="00A03D77">
      <w:pPr>
        <w:shd w:val="clear" w:color="auto" w:fill="FAFAFA"/>
        <w:spacing w:after="0" w:line="240" w:lineRule="auto"/>
        <w:outlineLvl w:val="1"/>
        <w:rPr>
          <w:rFonts w:ascii="Cambria" w:eastAsia="Times New Roman" w:hAnsi="Cambria" w:cs="Times New Roman"/>
          <w:b/>
          <w:bCs/>
          <w:color w:val="181B1F"/>
          <w:kern w:val="0"/>
          <w:sz w:val="28"/>
          <w:szCs w:val="28"/>
          <w:lang w:eastAsia="fr-FR"/>
          <w14:ligatures w14:val="none"/>
        </w:rPr>
      </w:pPr>
      <w:r w:rsidRPr="00A03D77">
        <w:rPr>
          <w:rFonts w:ascii="Cambria" w:eastAsia="Times New Roman" w:hAnsi="Cambria" w:cs="Times New Roman"/>
          <w:b/>
          <w:bCs/>
          <w:color w:val="181B1F"/>
          <w:kern w:val="0"/>
          <w:sz w:val="28"/>
          <w:szCs w:val="28"/>
          <w:lang w:eastAsia="fr-FR"/>
          <w14:ligatures w14:val="none"/>
        </w:rPr>
        <w:t>Devoir de mémoire – Travail de mémoire</w:t>
      </w:r>
    </w:p>
    <w:p w14:paraId="7E937FE2" w14:textId="77777777" w:rsidR="00A03D77" w:rsidRPr="00A03D77" w:rsidRDefault="00A03D77" w:rsidP="00A03D77">
      <w:p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r w:rsidRPr="00A03D77">
        <w:rPr>
          <w:rFonts w:ascii="Cambria" w:eastAsia="Times New Roman" w:hAnsi="Cambria" w:cs="Arial"/>
          <w:color w:val="181B1F"/>
          <w:kern w:val="0"/>
          <w:sz w:val="24"/>
          <w:szCs w:val="24"/>
          <w:lang w:eastAsia="fr-FR"/>
          <w14:ligatures w14:val="none"/>
        </w:rPr>
        <w:t>Juridiquement, le devoir de mémoire est formalisé par des lois mémorielles, postulant le point de vue officiel d'un État ou d'un groupe d'État sur des événements historiques. Une loi mémorielle peut permettre, à l'instar de la loi Gayssot en France, d'encadrer la liberté d'expression. Elle peut aussi imposer dans le calendrier civil des journées consacrées à la mémoire et au souvenir d'événements historiques.</w:t>
      </w:r>
    </w:p>
    <w:p w14:paraId="7B9E01E6" w14:textId="77777777" w:rsidR="00A03D77" w:rsidRPr="00A03D77" w:rsidRDefault="00A03D77" w:rsidP="00A03D77">
      <w:p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r w:rsidRPr="00A03D77">
        <w:rPr>
          <w:rFonts w:ascii="Cambria" w:eastAsia="Times New Roman" w:hAnsi="Cambria" w:cs="Arial"/>
          <w:color w:val="181B1F"/>
          <w:kern w:val="0"/>
          <w:sz w:val="24"/>
          <w:szCs w:val="24"/>
          <w:lang w:eastAsia="fr-FR"/>
          <w14:ligatures w14:val="none"/>
        </w:rPr>
        <w:t>Une loi mémorielle peut également accompagner l'enseignement de faits historiques précis, comme par exemple la loi Taubira sur la reconnaissance de la traite et de l'esclavage en tant que crime contre l'humanité qui précise que "les programmes scolaires et les programmes de recherche en histoire et en sciences humaines accorderont à la traite négrière et à l'esclavage la place conséquente qu'ils méritent".</w:t>
      </w:r>
    </w:p>
    <w:p w14:paraId="77BBDE0C" w14:textId="77777777" w:rsidR="00A03D77" w:rsidRPr="00A03D77" w:rsidRDefault="00A03D77" w:rsidP="00A03D77">
      <w:pPr>
        <w:shd w:val="clear" w:color="auto" w:fill="FAFAFA"/>
        <w:spacing w:after="0" w:line="240" w:lineRule="auto"/>
        <w:outlineLvl w:val="1"/>
        <w:rPr>
          <w:rFonts w:ascii="Cambria" w:eastAsia="Times New Roman" w:hAnsi="Cambria" w:cs="Arial"/>
          <w:color w:val="181B1F"/>
          <w:kern w:val="0"/>
          <w:sz w:val="24"/>
          <w:szCs w:val="24"/>
          <w:lang w:eastAsia="fr-FR"/>
          <w14:ligatures w14:val="none"/>
        </w:rPr>
      </w:pPr>
      <w:r w:rsidRPr="00A03D77">
        <w:rPr>
          <w:rFonts w:ascii="Cambria" w:eastAsia="Times New Roman" w:hAnsi="Cambria" w:cs="Arial"/>
          <w:color w:val="181B1F"/>
          <w:kern w:val="0"/>
          <w:sz w:val="24"/>
          <w:szCs w:val="24"/>
          <w:lang w:eastAsia="fr-FR"/>
          <w14:ligatures w14:val="none"/>
        </w:rPr>
        <w:t>Les quatre lois mémorielles en France</w:t>
      </w:r>
    </w:p>
    <w:p w14:paraId="7D42582F" w14:textId="77777777" w:rsidR="00A03D77" w:rsidRPr="00A03D77" w:rsidRDefault="00A03D77" w:rsidP="00A03D77">
      <w:p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r w:rsidRPr="00A03D77">
        <w:rPr>
          <w:rFonts w:ascii="Cambria" w:eastAsia="Times New Roman" w:hAnsi="Cambria" w:cs="Arial"/>
          <w:color w:val="181B1F"/>
          <w:kern w:val="0"/>
          <w:sz w:val="24"/>
          <w:szCs w:val="24"/>
          <w:lang w:eastAsia="fr-FR"/>
          <w14:ligatures w14:val="none"/>
        </w:rPr>
        <w:t>Le devoir de mémoire en France est constitué d'un corpus de 4 lois mémorielles :</w:t>
      </w:r>
    </w:p>
    <w:p w14:paraId="753DFD94" w14:textId="77777777" w:rsidR="00A03D77" w:rsidRPr="00A03D77" w:rsidRDefault="00A03D77" w:rsidP="00A03D77">
      <w:pPr>
        <w:numPr>
          <w:ilvl w:val="0"/>
          <w:numId w:val="1"/>
        </w:num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proofErr w:type="gramStart"/>
      <w:r w:rsidRPr="00A03D77">
        <w:rPr>
          <w:rFonts w:ascii="Cambria" w:eastAsia="Times New Roman" w:hAnsi="Cambria" w:cs="Arial"/>
          <w:color w:val="181B1F"/>
          <w:kern w:val="0"/>
          <w:sz w:val="24"/>
          <w:szCs w:val="24"/>
          <w:lang w:eastAsia="fr-FR"/>
          <w14:ligatures w14:val="none"/>
        </w:rPr>
        <w:t>la</w:t>
      </w:r>
      <w:proofErr w:type="gramEnd"/>
      <w:r w:rsidRPr="00A03D77">
        <w:rPr>
          <w:rFonts w:ascii="Cambria" w:eastAsia="Times New Roman" w:hAnsi="Cambria" w:cs="Arial"/>
          <w:color w:val="181B1F"/>
          <w:kern w:val="0"/>
          <w:sz w:val="24"/>
          <w:szCs w:val="24"/>
          <w:lang w:eastAsia="fr-FR"/>
          <w14:ligatures w14:val="none"/>
        </w:rPr>
        <w:t xml:space="preserve"> loi Gayssot, de 1990, réprimant tout acte raciste, antisémite et xénophobe</w:t>
      </w:r>
    </w:p>
    <w:p w14:paraId="6636165E" w14:textId="77777777" w:rsidR="00A03D77" w:rsidRPr="00A03D77" w:rsidRDefault="00A03D77" w:rsidP="00A03D77">
      <w:pPr>
        <w:numPr>
          <w:ilvl w:val="0"/>
          <w:numId w:val="1"/>
        </w:num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proofErr w:type="gramStart"/>
      <w:r w:rsidRPr="00A03D77">
        <w:rPr>
          <w:rFonts w:ascii="Cambria" w:eastAsia="Times New Roman" w:hAnsi="Cambria" w:cs="Arial"/>
          <w:color w:val="181B1F"/>
          <w:kern w:val="0"/>
          <w:sz w:val="24"/>
          <w:szCs w:val="24"/>
          <w:lang w:eastAsia="fr-FR"/>
          <w14:ligatures w14:val="none"/>
        </w:rPr>
        <w:t>la</w:t>
      </w:r>
      <w:proofErr w:type="gramEnd"/>
      <w:r w:rsidRPr="00A03D77">
        <w:rPr>
          <w:rFonts w:ascii="Cambria" w:eastAsia="Times New Roman" w:hAnsi="Cambria" w:cs="Arial"/>
          <w:color w:val="181B1F"/>
          <w:kern w:val="0"/>
          <w:sz w:val="24"/>
          <w:szCs w:val="24"/>
          <w:lang w:eastAsia="fr-FR"/>
          <w14:ligatures w14:val="none"/>
        </w:rPr>
        <w:t xml:space="preserve"> loi de 2001 reconnaissant l'existence du génocide arménien</w:t>
      </w:r>
    </w:p>
    <w:p w14:paraId="4404FAE0" w14:textId="77777777" w:rsidR="00A03D77" w:rsidRPr="00A03D77" w:rsidRDefault="00A03D77" w:rsidP="00A03D77">
      <w:pPr>
        <w:numPr>
          <w:ilvl w:val="0"/>
          <w:numId w:val="1"/>
        </w:num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proofErr w:type="gramStart"/>
      <w:r w:rsidRPr="00A03D77">
        <w:rPr>
          <w:rFonts w:ascii="Cambria" w:eastAsia="Times New Roman" w:hAnsi="Cambria" w:cs="Arial"/>
          <w:color w:val="181B1F"/>
          <w:kern w:val="0"/>
          <w:sz w:val="24"/>
          <w:szCs w:val="24"/>
          <w:lang w:eastAsia="fr-FR"/>
          <w14:ligatures w14:val="none"/>
        </w:rPr>
        <w:t>la</w:t>
      </w:r>
      <w:proofErr w:type="gramEnd"/>
      <w:r w:rsidRPr="00A03D77">
        <w:rPr>
          <w:rFonts w:ascii="Cambria" w:eastAsia="Times New Roman" w:hAnsi="Cambria" w:cs="Arial"/>
          <w:color w:val="181B1F"/>
          <w:kern w:val="0"/>
          <w:sz w:val="24"/>
          <w:szCs w:val="24"/>
          <w:lang w:eastAsia="fr-FR"/>
          <w14:ligatures w14:val="none"/>
        </w:rPr>
        <w:t xml:space="preserve"> loi Taubira, de 2001, reconnaissant la traite et l'esclavage comme un crime contre l'humanité</w:t>
      </w:r>
    </w:p>
    <w:p w14:paraId="0E193E57" w14:textId="77777777" w:rsidR="00A03D77" w:rsidRPr="00A03D77" w:rsidRDefault="00A03D77" w:rsidP="00A03D77">
      <w:pPr>
        <w:numPr>
          <w:ilvl w:val="0"/>
          <w:numId w:val="1"/>
        </w:num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proofErr w:type="gramStart"/>
      <w:r w:rsidRPr="00A03D77">
        <w:rPr>
          <w:rFonts w:ascii="Cambria" w:eastAsia="Times New Roman" w:hAnsi="Cambria" w:cs="Arial"/>
          <w:color w:val="181B1F"/>
          <w:kern w:val="0"/>
          <w:sz w:val="24"/>
          <w:szCs w:val="24"/>
          <w:lang w:eastAsia="fr-FR"/>
          <w14:ligatures w14:val="none"/>
        </w:rPr>
        <w:t>la</w:t>
      </w:r>
      <w:proofErr w:type="gramEnd"/>
      <w:r w:rsidRPr="00A03D77">
        <w:rPr>
          <w:rFonts w:ascii="Cambria" w:eastAsia="Times New Roman" w:hAnsi="Cambria" w:cs="Arial"/>
          <w:color w:val="181B1F"/>
          <w:kern w:val="0"/>
          <w:sz w:val="24"/>
          <w:szCs w:val="24"/>
          <w:lang w:eastAsia="fr-FR"/>
          <w14:ligatures w14:val="none"/>
        </w:rPr>
        <w:t xml:space="preserve"> loi sur la colonisation de 2005, "portant reconnaissance de la Nation et contribution nationale en faveur des Français rapatriés", dont l'article 4 alinéa 2, stipulant que "les programmes scolaires reconnaissent en particulier le rôle positif de la présence française outre-mer" est abrogé en 2006.</w:t>
      </w:r>
    </w:p>
    <w:p w14:paraId="797956B6" w14:textId="77777777" w:rsidR="00A03D77" w:rsidRPr="00A03D77" w:rsidRDefault="00A03D77" w:rsidP="00A03D77">
      <w:p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r w:rsidRPr="00A03D77">
        <w:rPr>
          <w:rFonts w:ascii="Cambria" w:eastAsia="Times New Roman" w:hAnsi="Cambria" w:cs="Arial"/>
          <w:color w:val="181B1F"/>
          <w:kern w:val="0"/>
          <w:sz w:val="24"/>
          <w:szCs w:val="24"/>
          <w:lang w:eastAsia="fr-FR"/>
          <w14:ligatures w14:val="none"/>
        </w:rPr>
        <w:t>En France, le débat sur les lois mémorielles est vif et oppose notamment historiens, juristes et représentants politiques et soulèvent des problématiques de "guerres de mémoire" révélant des "logiques communautaristes" qui pourraient être contraires à la constitution française. Le génocide perpétré par les Khmers rouges au Cambodge entre 1975 et 1979 et celui des Tutsis au Rwanda en 1994 sont, par exemple, reconnus par les Nations Unies mais pas par la France. Ainsi, le devoir de mémoire pourrait conduire à des "indignations sélectives", comme le dit le député Noël Mamère en 2011.</w:t>
      </w:r>
    </w:p>
    <w:p w14:paraId="3F006C6B" w14:textId="77777777" w:rsidR="00A03D77" w:rsidRPr="00A03D77" w:rsidRDefault="00A03D77" w:rsidP="00A03D77">
      <w:p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r w:rsidRPr="00A03D77">
        <w:rPr>
          <w:rFonts w:ascii="Cambria" w:eastAsia="Times New Roman" w:hAnsi="Cambria" w:cs="Arial"/>
          <w:color w:val="181B1F"/>
          <w:kern w:val="0"/>
          <w:sz w:val="24"/>
          <w:szCs w:val="24"/>
          <w:lang w:eastAsia="fr-FR"/>
          <w14:ligatures w14:val="none"/>
        </w:rPr>
        <w:t xml:space="preserve">Un des objets de ce débat sur les lois mémorielles est de savoir </w:t>
      </w:r>
      <w:r w:rsidRPr="00A03D77">
        <w:rPr>
          <w:rFonts w:ascii="Cambria" w:eastAsia="Times New Roman" w:hAnsi="Cambria" w:cs="Arial"/>
          <w:b/>
          <w:bCs/>
          <w:color w:val="181B1F"/>
          <w:kern w:val="0"/>
          <w:sz w:val="24"/>
          <w:szCs w:val="24"/>
          <w:lang w:eastAsia="fr-FR"/>
          <w14:ligatures w14:val="none"/>
        </w:rPr>
        <w:t>qui peut et qui doit écrire l'histoire</w:t>
      </w:r>
      <w:r w:rsidRPr="00A03D77">
        <w:rPr>
          <w:rFonts w:ascii="Cambria" w:eastAsia="Times New Roman" w:hAnsi="Cambria" w:cs="Arial"/>
          <w:color w:val="181B1F"/>
          <w:kern w:val="0"/>
          <w:sz w:val="24"/>
          <w:szCs w:val="24"/>
          <w:lang w:eastAsia="fr-FR"/>
          <w14:ligatures w14:val="none"/>
        </w:rPr>
        <w:t>. Le Premier ministre Dominique de Villepin, déclare le 8 décembre 2005 sur France Inter : "ce n'est pas aux politiques, ce n'est pas au Parlement d'écrire l'histoire ou de dire la mémoire. C'est la règle à laquelle nous devons être fidèles. […] Il n'y a pas d'histoire officielle en France."</w:t>
      </w:r>
    </w:p>
    <w:p w14:paraId="0E4C18B8" w14:textId="77777777" w:rsidR="00A03D77" w:rsidRPr="00A03D77" w:rsidRDefault="00A03D77" w:rsidP="00A03D77">
      <w:pPr>
        <w:shd w:val="clear" w:color="auto" w:fill="FAFAFA"/>
        <w:spacing w:after="0" w:line="240" w:lineRule="auto"/>
        <w:outlineLvl w:val="1"/>
        <w:rPr>
          <w:rFonts w:ascii="Cambria" w:eastAsia="Times New Roman" w:hAnsi="Cambria" w:cs="Arial"/>
          <w:color w:val="181B1F"/>
          <w:kern w:val="0"/>
          <w:sz w:val="24"/>
          <w:szCs w:val="24"/>
          <w:lang w:eastAsia="fr-FR"/>
          <w14:ligatures w14:val="none"/>
        </w:rPr>
      </w:pPr>
      <w:r w:rsidRPr="00A03D77">
        <w:rPr>
          <w:rFonts w:ascii="Cambria" w:eastAsia="Times New Roman" w:hAnsi="Cambria" w:cs="Arial"/>
          <w:color w:val="181B1F"/>
          <w:kern w:val="0"/>
          <w:sz w:val="24"/>
          <w:szCs w:val="24"/>
          <w:lang w:eastAsia="fr-FR"/>
          <w14:ligatures w14:val="none"/>
        </w:rPr>
        <w:t>Le travail de mémoire et le devoir de mémoire</w:t>
      </w:r>
    </w:p>
    <w:p w14:paraId="185D0823" w14:textId="77777777" w:rsidR="00A03D77" w:rsidRPr="00A03D77" w:rsidRDefault="00A03D77" w:rsidP="00A03D77">
      <w:p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r w:rsidRPr="00A03D77">
        <w:rPr>
          <w:rFonts w:ascii="Cambria" w:eastAsia="Times New Roman" w:hAnsi="Cambria" w:cs="Arial"/>
          <w:color w:val="181B1F"/>
          <w:kern w:val="0"/>
          <w:sz w:val="24"/>
          <w:szCs w:val="24"/>
          <w:lang w:eastAsia="fr-FR"/>
          <w14:ligatures w14:val="none"/>
        </w:rPr>
        <w:t xml:space="preserve">Suite à ces débats, l'expression "devoir de mémoire" a tendance à disparaître du discours politique pour donner une place à l'expression "travail de mémoire". </w:t>
      </w:r>
      <w:proofErr w:type="spellStart"/>
      <w:r w:rsidRPr="00A03D77">
        <w:rPr>
          <w:rFonts w:ascii="Cambria" w:eastAsia="Times New Roman" w:hAnsi="Cambria" w:cs="Arial"/>
          <w:color w:val="181B1F"/>
          <w:kern w:val="0"/>
          <w:sz w:val="24"/>
          <w:szCs w:val="24"/>
          <w:lang w:eastAsia="fr-FR"/>
          <w14:ligatures w14:val="none"/>
        </w:rPr>
        <w:t>Au delà</w:t>
      </w:r>
      <w:proofErr w:type="spellEnd"/>
      <w:r w:rsidRPr="00A03D77">
        <w:rPr>
          <w:rFonts w:ascii="Cambria" w:eastAsia="Times New Roman" w:hAnsi="Cambria" w:cs="Arial"/>
          <w:color w:val="181B1F"/>
          <w:kern w:val="0"/>
          <w:sz w:val="24"/>
          <w:szCs w:val="24"/>
          <w:lang w:eastAsia="fr-FR"/>
          <w14:ligatures w14:val="none"/>
        </w:rPr>
        <w:t xml:space="preserve"> d'éviter de définir la mémoire comme un référent social consensuel, l'expression "travail de mémoire" affirme une écriture de l'histoire et la construction d'une mémoire comme démarche continue. Cette expression s'appuie sur des travaux d'historiens français rassemblés notamment à partir de 1984 dans le recueil </w:t>
      </w:r>
      <w:r w:rsidRPr="00A03D77">
        <w:rPr>
          <w:rFonts w:ascii="Cambria" w:eastAsia="Times New Roman" w:hAnsi="Cambria" w:cs="Arial"/>
          <w:i/>
          <w:iCs/>
          <w:color w:val="181B1F"/>
          <w:kern w:val="0"/>
          <w:sz w:val="24"/>
          <w:szCs w:val="24"/>
          <w:lang w:eastAsia="fr-FR"/>
          <w14:ligatures w14:val="none"/>
        </w:rPr>
        <w:t>Les Lieux de mémoire</w:t>
      </w:r>
      <w:r w:rsidRPr="00A03D77">
        <w:rPr>
          <w:rFonts w:ascii="Cambria" w:eastAsia="Times New Roman" w:hAnsi="Cambria" w:cs="Arial"/>
          <w:color w:val="181B1F"/>
          <w:kern w:val="0"/>
          <w:sz w:val="24"/>
          <w:szCs w:val="24"/>
          <w:lang w:eastAsia="fr-FR"/>
          <w14:ligatures w14:val="none"/>
        </w:rPr>
        <w:t>, dirigé par Pierre Nora, qui recense les lieux et objets d'une mémoire collective.</w:t>
      </w:r>
    </w:p>
    <w:p w14:paraId="440DF085" w14:textId="77777777" w:rsidR="00A03D77" w:rsidRPr="00A03D77" w:rsidRDefault="00A03D77"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r w:rsidRPr="00A03D77">
        <w:rPr>
          <w:rFonts w:ascii="Cambria" w:eastAsia="Times New Roman" w:hAnsi="Cambria" w:cs="Arial"/>
          <w:b/>
          <w:bCs/>
          <w:color w:val="181B1F"/>
          <w:kern w:val="0"/>
          <w:sz w:val="24"/>
          <w:szCs w:val="24"/>
          <w:lang w:eastAsia="fr-FR"/>
          <w14:ligatures w14:val="none"/>
        </w:rPr>
        <w:t>Le travail de mémoire consiste ainsi, pour une société, à intégrer l'histoire, les souvenirs et la mémoire comme des champs d'actions, ponctuels ou non, qui vont de la conservation et érections de monuments commémoratifs à la transmission du savoir historique par les écoles, les médias, les musées ou l'institution de journées nationales d'hommages et cérémonies en mémoire des victimes de drames historiques.</w:t>
      </w:r>
    </w:p>
    <w:p w14:paraId="65D0F4EE" w14:textId="77777777" w:rsidR="00A03D77" w:rsidRPr="00A03D77" w:rsidRDefault="00A03D77" w:rsidP="00A03D77">
      <w:p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r w:rsidRPr="00A03D77">
        <w:rPr>
          <w:rFonts w:ascii="Cambria" w:eastAsia="Times New Roman" w:hAnsi="Cambria" w:cs="Arial"/>
          <w:color w:val="181B1F"/>
          <w:kern w:val="0"/>
          <w:sz w:val="24"/>
          <w:szCs w:val="24"/>
          <w:lang w:eastAsia="fr-FR"/>
          <w14:ligatures w14:val="none"/>
        </w:rPr>
        <w:t>Le travail de mémoire s'appuie également sur la recherche historique, générant du consensus scientifique, et se construit en parallèle de l'établissement d'une mémoire savante se matérialisant dans des travaux universitaires et une politique mémorielle.</w:t>
      </w:r>
    </w:p>
    <w:p w14:paraId="1C514DC4" w14:textId="77777777" w:rsidR="00A03D77" w:rsidRDefault="00A03D77" w:rsidP="00A03D77">
      <w:pPr>
        <w:shd w:val="clear" w:color="auto" w:fill="FAFAFA"/>
        <w:spacing w:before="100" w:beforeAutospacing="1" w:after="100" w:afterAutospacing="1" w:line="240" w:lineRule="auto"/>
        <w:rPr>
          <w:rFonts w:ascii="Cambria" w:eastAsia="Times New Roman" w:hAnsi="Cambria" w:cs="Arial"/>
          <w:color w:val="181B1F"/>
          <w:kern w:val="0"/>
          <w:sz w:val="24"/>
          <w:szCs w:val="24"/>
          <w:lang w:eastAsia="fr-FR"/>
          <w14:ligatures w14:val="none"/>
        </w:rPr>
      </w:pPr>
      <w:r w:rsidRPr="00A03D77">
        <w:rPr>
          <w:rFonts w:ascii="Cambria" w:eastAsia="Times New Roman" w:hAnsi="Cambria" w:cs="Arial"/>
          <w:color w:val="181B1F"/>
          <w:kern w:val="0"/>
          <w:sz w:val="24"/>
          <w:szCs w:val="24"/>
          <w:lang w:eastAsia="fr-FR"/>
          <w14:ligatures w14:val="none"/>
        </w:rPr>
        <w:t>Enfin, le travail de mémoire est rendu possible par celles et ceux qui ont collecté des informations qui permettent aux historiens de travailler, à l'instar de </w:t>
      </w:r>
      <w:hyperlink r:id="rId7" w:history="1">
        <w:r w:rsidRPr="00A03D77">
          <w:rPr>
            <w:rFonts w:ascii="Cambria" w:eastAsia="Times New Roman" w:hAnsi="Cambria" w:cs="Arial"/>
            <w:color w:val="0000FF"/>
            <w:kern w:val="0"/>
            <w:sz w:val="24"/>
            <w:szCs w:val="24"/>
            <w:u w:val="single"/>
            <w:lang w:eastAsia="fr-FR"/>
            <w14:ligatures w14:val="none"/>
          </w:rPr>
          <w:t xml:space="preserve">Rose </w:t>
        </w:r>
        <w:proofErr w:type="spellStart"/>
        <w:r w:rsidRPr="00A03D77">
          <w:rPr>
            <w:rFonts w:ascii="Cambria" w:eastAsia="Times New Roman" w:hAnsi="Cambria" w:cs="Arial"/>
            <w:color w:val="0000FF"/>
            <w:kern w:val="0"/>
            <w:sz w:val="24"/>
            <w:szCs w:val="24"/>
            <w:u w:val="single"/>
            <w:lang w:eastAsia="fr-FR"/>
            <w14:ligatures w14:val="none"/>
          </w:rPr>
          <w:t>Valland</w:t>
        </w:r>
        <w:proofErr w:type="spellEnd"/>
      </w:hyperlink>
      <w:r w:rsidRPr="00A03D77">
        <w:rPr>
          <w:rFonts w:ascii="Cambria" w:eastAsia="Times New Roman" w:hAnsi="Cambria" w:cs="Arial"/>
          <w:color w:val="181B1F"/>
          <w:kern w:val="0"/>
          <w:sz w:val="24"/>
          <w:szCs w:val="24"/>
          <w:lang w:eastAsia="fr-FR"/>
          <w14:ligatures w14:val="none"/>
        </w:rPr>
        <w:t xml:space="preserve">, conservatrice de musée pendant la Seconde Guerre mondiale, et qui a recensé les </w:t>
      </w:r>
      <w:proofErr w:type="spellStart"/>
      <w:r w:rsidRPr="00A03D77">
        <w:rPr>
          <w:rFonts w:ascii="Cambria" w:eastAsia="Times New Roman" w:hAnsi="Cambria" w:cs="Arial"/>
          <w:color w:val="181B1F"/>
          <w:kern w:val="0"/>
          <w:sz w:val="24"/>
          <w:szCs w:val="24"/>
          <w:lang w:eastAsia="fr-FR"/>
          <w14:ligatures w14:val="none"/>
        </w:rPr>
        <w:t>oeuvres</w:t>
      </w:r>
      <w:proofErr w:type="spellEnd"/>
      <w:r w:rsidRPr="00A03D77">
        <w:rPr>
          <w:rFonts w:ascii="Cambria" w:eastAsia="Times New Roman" w:hAnsi="Cambria" w:cs="Arial"/>
          <w:color w:val="181B1F"/>
          <w:kern w:val="0"/>
          <w:sz w:val="24"/>
          <w:szCs w:val="24"/>
          <w:lang w:eastAsia="fr-FR"/>
          <w14:ligatures w14:val="none"/>
        </w:rPr>
        <w:t xml:space="preserve"> d'art confisquées par les nazis à Paris pendant l'Occupation, ou de témoins ayant fait le récit des événements historiques auxquels ils ont assisté.</w:t>
      </w:r>
    </w:p>
    <w:p w14:paraId="61FE701A"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4B0A9AFF"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340B6B46"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0594F33B"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08A3F919"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01EE2FDB"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289E535F"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295EEA53"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548C4E78"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3188E030"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7C88D815"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4C71C620"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4E8222A7"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70D77AE7" w14:textId="77777777" w:rsid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p>
    <w:p w14:paraId="7C7EF9A3" w14:textId="3E43CFA9" w:rsidR="001C7148" w:rsidRPr="001C7148" w:rsidRDefault="001C7148" w:rsidP="00A03D77">
      <w:pPr>
        <w:shd w:val="clear" w:color="auto" w:fill="FAFAFA"/>
        <w:spacing w:before="100" w:beforeAutospacing="1" w:after="100" w:afterAutospacing="1" w:line="240" w:lineRule="auto"/>
        <w:rPr>
          <w:rFonts w:ascii="Cambria" w:eastAsia="Times New Roman" w:hAnsi="Cambria" w:cs="Arial"/>
          <w:b/>
          <w:bCs/>
          <w:color w:val="181B1F"/>
          <w:kern w:val="0"/>
          <w:sz w:val="24"/>
          <w:szCs w:val="24"/>
          <w:lang w:eastAsia="fr-FR"/>
          <w14:ligatures w14:val="none"/>
        </w:rPr>
      </w:pPr>
      <w:r w:rsidRPr="001C7148">
        <w:rPr>
          <w:rFonts w:ascii="Cambria" w:eastAsia="Times New Roman" w:hAnsi="Cambria" w:cs="Arial"/>
          <w:b/>
          <w:bCs/>
          <w:color w:val="181B1F"/>
          <w:kern w:val="0"/>
          <w:sz w:val="24"/>
          <w:szCs w:val="24"/>
          <w:lang w:eastAsia="fr-FR"/>
          <w14:ligatures w14:val="none"/>
        </w:rPr>
        <w:t>DOC 3</w:t>
      </w:r>
    </w:p>
    <w:p w14:paraId="4A9E5615" w14:textId="4C46A159" w:rsidR="00861C6D" w:rsidRDefault="001C7148">
      <w:pPr>
        <w:rPr>
          <w:rFonts w:ascii="Cambria" w:hAnsi="Cambria"/>
          <w:sz w:val="24"/>
          <w:szCs w:val="24"/>
        </w:rPr>
      </w:pPr>
      <w:r>
        <w:rPr>
          <w:noProof/>
        </w:rPr>
        <w:drawing>
          <wp:inline distT="0" distB="0" distL="0" distR="0" wp14:anchorId="4CA8C359" wp14:editId="2A6F2ED7">
            <wp:extent cx="3781425" cy="6435627"/>
            <wp:effectExtent l="0" t="0" r="0" b="3810"/>
            <wp:docPr id="14115316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31629" name=""/>
                    <pic:cNvPicPr/>
                  </pic:nvPicPr>
                  <pic:blipFill rotWithShape="1">
                    <a:blip r:embed="rId8"/>
                    <a:srcRect l="22983" t="23231" r="53506" b="5606"/>
                    <a:stretch/>
                  </pic:blipFill>
                  <pic:spPr bwMode="auto">
                    <a:xfrm>
                      <a:off x="0" y="0"/>
                      <a:ext cx="3785801" cy="6443075"/>
                    </a:xfrm>
                    <a:prstGeom prst="rect">
                      <a:avLst/>
                    </a:prstGeom>
                    <a:ln>
                      <a:noFill/>
                    </a:ln>
                    <a:extLst>
                      <a:ext uri="{53640926-AAD7-44D8-BBD7-CCE9431645EC}">
                        <a14:shadowObscured xmlns:a14="http://schemas.microsoft.com/office/drawing/2010/main"/>
                      </a:ext>
                    </a:extLst>
                  </pic:spPr>
                </pic:pic>
              </a:graphicData>
            </a:graphic>
          </wp:inline>
        </w:drawing>
      </w:r>
    </w:p>
    <w:p w14:paraId="6BFD39DC" w14:textId="735A973F" w:rsidR="001C7148" w:rsidRDefault="001C7148">
      <w:pPr>
        <w:rPr>
          <w:rFonts w:ascii="Cambria" w:hAnsi="Cambria"/>
          <w:sz w:val="24"/>
          <w:szCs w:val="24"/>
        </w:rPr>
      </w:pPr>
      <w:r>
        <w:rPr>
          <w:rFonts w:ascii="Cambria" w:hAnsi="Cambria"/>
          <w:sz w:val="24"/>
          <w:szCs w:val="24"/>
        </w:rPr>
        <w:t>Pierre Nora</w:t>
      </w:r>
    </w:p>
    <w:p w14:paraId="60D5BFEA" w14:textId="29FE30B2" w:rsidR="001C7148" w:rsidRPr="001C7148" w:rsidRDefault="001C7148">
      <w:pPr>
        <w:rPr>
          <w:rFonts w:ascii="Cambria" w:hAnsi="Cambria"/>
          <w:i/>
          <w:iCs/>
          <w:sz w:val="24"/>
          <w:szCs w:val="24"/>
        </w:rPr>
      </w:pPr>
      <w:r w:rsidRPr="001C7148">
        <w:rPr>
          <w:rFonts w:ascii="Cambria" w:hAnsi="Cambria"/>
          <w:i/>
          <w:iCs/>
          <w:sz w:val="24"/>
          <w:szCs w:val="24"/>
        </w:rPr>
        <w:t>Les lieux de mémoire</w:t>
      </w:r>
    </w:p>
    <w:p w14:paraId="7B01A2A0" w14:textId="77777777" w:rsidR="001C7148" w:rsidRDefault="001C7148">
      <w:pPr>
        <w:rPr>
          <w:rFonts w:ascii="Cambria" w:hAnsi="Cambria"/>
          <w:sz w:val="24"/>
          <w:szCs w:val="24"/>
        </w:rPr>
      </w:pPr>
    </w:p>
    <w:p w14:paraId="19F9BE1D" w14:textId="77777777" w:rsidR="001C7148" w:rsidRDefault="001C7148">
      <w:pPr>
        <w:rPr>
          <w:rFonts w:ascii="Cambria" w:hAnsi="Cambria"/>
          <w:sz w:val="24"/>
          <w:szCs w:val="24"/>
        </w:rPr>
      </w:pPr>
    </w:p>
    <w:p w14:paraId="005A2F27" w14:textId="77777777" w:rsidR="001C7148" w:rsidRDefault="001C7148">
      <w:pPr>
        <w:rPr>
          <w:rFonts w:ascii="Cambria" w:hAnsi="Cambria"/>
          <w:sz w:val="24"/>
          <w:szCs w:val="24"/>
        </w:rPr>
      </w:pPr>
    </w:p>
    <w:p w14:paraId="1FCEFD0E" w14:textId="77777777" w:rsidR="001C7148" w:rsidRDefault="001C7148">
      <w:pPr>
        <w:rPr>
          <w:rFonts w:ascii="Cambria" w:hAnsi="Cambria"/>
          <w:sz w:val="24"/>
          <w:szCs w:val="24"/>
        </w:rPr>
      </w:pPr>
    </w:p>
    <w:p w14:paraId="30B8F43C" w14:textId="77777777" w:rsidR="001C7148" w:rsidRDefault="001C7148">
      <w:pPr>
        <w:rPr>
          <w:rFonts w:ascii="Cambria" w:hAnsi="Cambria"/>
          <w:sz w:val="24"/>
          <w:szCs w:val="24"/>
        </w:rPr>
      </w:pPr>
    </w:p>
    <w:p w14:paraId="05F8B4D1" w14:textId="77777777" w:rsidR="001C7148" w:rsidRDefault="001C7148">
      <w:pPr>
        <w:rPr>
          <w:rFonts w:ascii="Cambria" w:hAnsi="Cambria"/>
          <w:sz w:val="24"/>
          <w:szCs w:val="24"/>
        </w:rPr>
      </w:pPr>
    </w:p>
    <w:p w14:paraId="741E79E4" w14:textId="65300B9C" w:rsidR="001C7148" w:rsidRPr="001C7148" w:rsidRDefault="001C7148">
      <w:pPr>
        <w:rPr>
          <w:rFonts w:ascii="Cambria" w:hAnsi="Cambria"/>
          <w:b/>
          <w:bCs/>
          <w:sz w:val="24"/>
          <w:szCs w:val="24"/>
        </w:rPr>
      </w:pPr>
      <w:r w:rsidRPr="001C7148">
        <w:rPr>
          <w:rFonts w:ascii="Cambria" w:hAnsi="Cambria"/>
          <w:b/>
          <w:bCs/>
          <w:sz w:val="24"/>
          <w:szCs w:val="24"/>
        </w:rPr>
        <w:t>DOC 4</w:t>
      </w:r>
    </w:p>
    <w:p w14:paraId="3E5D93F4" w14:textId="11670E70" w:rsidR="001C7148" w:rsidRDefault="001C7148">
      <w:pPr>
        <w:rPr>
          <w:rFonts w:ascii="Cambria" w:hAnsi="Cambria"/>
          <w:sz w:val="24"/>
          <w:szCs w:val="24"/>
        </w:rPr>
      </w:pPr>
      <w:r>
        <w:rPr>
          <w:noProof/>
        </w:rPr>
        <w:drawing>
          <wp:inline distT="0" distB="0" distL="0" distR="0" wp14:anchorId="39A1862D" wp14:editId="0101ED5A">
            <wp:extent cx="4514504" cy="4295775"/>
            <wp:effectExtent l="0" t="0" r="635" b="0"/>
            <wp:docPr id="5361038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31629" name=""/>
                    <pic:cNvPicPr/>
                  </pic:nvPicPr>
                  <pic:blipFill rotWithShape="1">
                    <a:blip r:embed="rId8"/>
                    <a:srcRect l="48376" t="23232" r="22949" b="28234"/>
                    <a:stretch/>
                  </pic:blipFill>
                  <pic:spPr bwMode="auto">
                    <a:xfrm>
                      <a:off x="0" y="0"/>
                      <a:ext cx="4520855" cy="4301819"/>
                    </a:xfrm>
                    <a:prstGeom prst="rect">
                      <a:avLst/>
                    </a:prstGeom>
                    <a:ln>
                      <a:noFill/>
                    </a:ln>
                    <a:extLst>
                      <a:ext uri="{53640926-AAD7-44D8-BBD7-CCE9431645EC}">
                        <a14:shadowObscured xmlns:a14="http://schemas.microsoft.com/office/drawing/2010/main"/>
                      </a:ext>
                    </a:extLst>
                  </pic:spPr>
                </pic:pic>
              </a:graphicData>
            </a:graphic>
          </wp:inline>
        </w:drawing>
      </w:r>
    </w:p>
    <w:p w14:paraId="1C1CCA29" w14:textId="446F2708" w:rsidR="001C7148" w:rsidRDefault="001C7148">
      <w:pPr>
        <w:rPr>
          <w:rFonts w:ascii="Cambria" w:hAnsi="Cambria"/>
          <w:sz w:val="24"/>
          <w:szCs w:val="24"/>
        </w:rPr>
      </w:pPr>
      <w:r>
        <w:rPr>
          <w:noProof/>
        </w:rPr>
        <w:drawing>
          <wp:inline distT="0" distB="0" distL="0" distR="0" wp14:anchorId="77393A4A" wp14:editId="78D25D07">
            <wp:extent cx="4315337" cy="1143000"/>
            <wp:effectExtent l="0" t="0" r="9525" b="0"/>
            <wp:docPr id="13584964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31629" name=""/>
                    <pic:cNvPicPr/>
                  </pic:nvPicPr>
                  <pic:blipFill rotWithShape="1">
                    <a:blip r:embed="rId8"/>
                    <a:srcRect l="55520" t="76394" r="22949" b="13462"/>
                    <a:stretch/>
                  </pic:blipFill>
                  <pic:spPr bwMode="auto">
                    <a:xfrm>
                      <a:off x="0" y="0"/>
                      <a:ext cx="4329881" cy="1146852"/>
                    </a:xfrm>
                    <a:prstGeom prst="rect">
                      <a:avLst/>
                    </a:prstGeom>
                    <a:ln>
                      <a:noFill/>
                    </a:ln>
                    <a:extLst>
                      <a:ext uri="{53640926-AAD7-44D8-BBD7-CCE9431645EC}">
                        <a14:shadowObscured xmlns:a14="http://schemas.microsoft.com/office/drawing/2010/main"/>
                      </a:ext>
                    </a:extLst>
                  </pic:spPr>
                </pic:pic>
              </a:graphicData>
            </a:graphic>
          </wp:inline>
        </w:drawing>
      </w:r>
    </w:p>
    <w:p w14:paraId="39EAAD66" w14:textId="45910E6D" w:rsidR="001C7148" w:rsidRDefault="001C7148">
      <w:r>
        <w:t>1</w:t>
      </w:r>
      <w:r>
        <w:t xml:space="preserve">.- Comment Pierre Nora définit-il la notion d’histoire ? </w:t>
      </w:r>
    </w:p>
    <w:p w14:paraId="6F74119A" w14:textId="71D1CC85" w:rsidR="001C7148" w:rsidRDefault="001C7148">
      <w:r>
        <w:t>2</w:t>
      </w:r>
      <w:r>
        <w:t xml:space="preserve">.- De quoi Simone Veil veut-elle témoigner ? Pourquoi cela lui est-il difficile ? </w:t>
      </w:r>
    </w:p>
    <w:p w14:paraId="3855AF6C" w14:textId="4E7E44F6" w:rsidR="001C7148" w:rsidRDefault="001C7148">
      <w:r>
        <w:t>3</w:t>
      </w:r>
      <w:r>
        <w:t>.- Pourquoi, selon elle, elle se doit de témoigner ?</w:t>
      </w:r>
    </w:p>
    <w:p w14:paraId="7C4D3FA4" w14:textId="75492388" w:rsidR="001C7148" w:rsidRDefault="001C7148">
      <w:r>
        <w:t>4</w:t>
      </w:r>
      <w:r>
        <w:t xml:space="preserve">.- Quel est le risque, pour l’histoire, si l’auteur ne témoigne pas ? </w:t>
      </w:r>
    </w:p>
    <w:p w14:paraId="2DC0FD56" w14:textId="003BDBB0" w:rsidR="001C7148" w:rsidRDefault="001C7148">
      <w:r>
        <w:t>5</w:t>
      </w:r>
      <w:r>
        <w:t xml:space="preserve">.- Pourquoi, néanmoins, un historien doit-il se méfier des témoignages ? </w:t>
      </w:r>
    </w:p>
    <w:p w14:paraId="7D4C0334" w14:textId="763A1F0C" w:rsidR="001C7148" w:rsidRDefault="001C7148">
      <w:r>
        <w:t>6</w:t>
      </w:r>
      <w:r>
        <w:t xml:space="preserve">.- Définissez alors la notion de « témoin ». </w:t>
      </w:r>
    </w:p>
    <w:p w14:paraId="3286AF8E" w14:textId="4EFF11DE" w:rsidR="001C7148" w:rsidRDefault="001C7148">
      <w:r>
        <w:t>7</w:t>
      </w:r>
      <w:r>
        <w:t xml:space="preserve">.- Quel lien peut-on faire avec la définition de la notion de mémoire approchée par Pierre Nora ? </w:t>
      </w:r>
      <w:proofErr w:type="gramStart"/>
      <w:r>
        <w:t>Bilan:</w:t>
      </w:r>
      <w:proofErr w:type="gramEnd"/>
      <w:r>
        <w:t xml:space="preserve"> Proposez une définition des deux notions: ‘Histoire’ / ‘Mémoire’’</w:t>
      </w:r>
    </w:p>
    <w:p w14:paraId="56C15C1E" w14:textId="77777777" w:rsidR="001C7148" w:rsidRDefault="001C7148"/>
    <w:p w14:paraId="030FBEFF" w14:textId="2A456BFB" w:rsidR="001C7148" w:rsidRPr="001C7148" w:rsidRDefault="001C7148">
      <w:pPr>
        <w:rPr>
          <w:b/>
          <w:bCs/>
        </w:rPr>
      </w:pPr>
      <w:r w:rsidRPr="001C7148">
        <w:rPr>
          <w:b/>
          <w:bCs/>
        </w:rPr>
        <w:t>DOC 5</w:t>
      </w:r>
    </w:p>
    <w:p w14:paraId="080983E7" w14:textId="3ED399D7" w:rsidR="001C7148" w:rsidRDefault="001C7148">
      <w:pPr>
        <w:rPr>
          <w:rFonts w:ascii="Cambria" w:hAnsi="Cambria"/>
          <w:sz w:val="24"/>
          <w:szCs w:val="24"/>
        </w:rPr>
      </w:pPr>
      <w:r>
        <w:rPr>
          <w:noProof/>
        </w:rPr>
        <w:drawing>
          <wp:inline distT="0" distB="0" distL="0" distR="0" wp14:anchorId="56C19A48" wp14:editId="4FE22E3F">
            <wp:extent cx="3562350" cy="3562350"/>
            <wp:effectExtent l="0" t="0" r="0" b="0"/>
            <wp:docPr id="3593279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27925" name=""/>
                    <pic:cNvPicPr/>
                  </pic:nvPicPr>
                  <pic:blipFill rotWithShape="1">
                    <a:blip r:embed="rId9"/>
                    <a:srcRect l="49768" t="22937" r="10880" b="7077"/>
                    <a:stretch/>
                  </pic:blipFill>
                  <pic:spPr bwMode="auto">
                    <a:xfrm>
                      <a:off x="0" y="0"/>
                      <a:ext cx="3562350" cy="3562350"/>
                    </a:xfrm>
                    <a:prstGeom prst="rect">
                      <a:avLst/>
                    </a:prstGeom>
                    <a:ln>
                      <a:noFill/>
                    </a:ln>
                    <a:extLst>
                      <a:ext uri="{53640926-AAD7-44D8-BBD7-CCE9431645EC}">
                        <a14:shadowObscured xmlns:a14="http://schemas.microsoft.com/office/drawing/2010/main"/>
                      </a:ext>
                    </a:extLst>
                  </pic:spPr>
                </pic:pic>
              </a:graphicData>
            </a:graphic>
          </wp:inline>
        </w:drawing>
      </w:r>
    </w:p>
    <w:p w14:paraId="4600A5CE" w14:textId="77777777" w:rsidR="001C7148" w:rsidRPr="00A03D77" w:rsidRDefault="001C7148">
      <w:pPr>
        <w:rPr>
          <w:rFonts w:ascii="Cambria" w:hAnsi="Cambria"/>
          <w:sz w:val="24"/>
          <w:szCs w:val="24"/>
        </w:rPr>
      </w:pPr>
    </w:p>
    <w:sectPr w:rsidR="001C7148" w:rsidRPr="00A03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5A6A28"/>
    <w:multiLevelType w:val="multilevel"/>
    <w:tmpl w:val="7FE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41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6D"/>
    <w:rsid w:val="00012CC0"/>
    <w:rsid w:val="000D526D"/>
    <w:rsid w:val="000E1176"/>
    <w:rsid w:val="00123BE8"/>
    <w:rsid w:val="001C7148"/>
    <w:rsid w:val="00521474"/>
    <w:rsid w:val="00555AC6"/>
    <w:rsid w:val="00582BEC"/>
    <w:rsid w:val="00861C6D"/>
    <w:rsid w:val="008D3DE0"/>
    <w:rsid w:val="008E4541"/>
    <w:rsid w:val="00A03D77"/>
    <w:rsid w:val="00BF170D"/>
    <w:rsid w:val="00C176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9E1E"/>
  <w15:chartTrackingRefBased/>
  <w15:docId w15:val="{ED3078B4-C615-4A01-95C1-6C474712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03D77"/>
    <w:rPr>
      <w:color w:val="0563C1" w:themeColor="hyperlink"/>
      <w:u w:val="single"/>
    </w:rPr>
  </w:style>
  <w:style w:type="character" w:styleId="Mentionnonrsolue">
    <w:name w:val="Unresolved Mention"/>
    <w:basedOn w:val="Policepardfaut"/>
    <w:uiPriority w:val="99"/>
    <w:semiHidden/>
    <w:unhideWhenUsed/>
    <w:rsid w:val="00A03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827881">
      <w:bodyDiv w:val="1"/>
      <w:marLeft w:val="0"/>
      <w:marRight w:val="0"/>
      <w:marTop w:val="0"/>
      <w:marBottom w:val="0"/>
      <w:divBdr>
        <w:top w:val="none" w:sz="0" w:space="0" w:color="auto"/>
        <w:left w:val="none" w:sz="0" w:space="0" w:color="auto"/>
        <w:bottom w:val="none" w:sz="0" w:space="0" w:color="auto"/>
        <w:right w:val="none" w:sz="0" w:space="0" w:color="auto"/>
      </w:divBdr>
      <w:divsChild>
        <w:div w:id="1657147174">
          <w:marLeft w:val="0"/>
          <w:marRight w:val="0"/>
          <w:marTop w:val="0"/>
          <w:marBottom w:val="0"/>
          <w:divBdr>
            <w:top w:val="none" w:sz="0" w:space="0" w:color="auto"/>
            <w:left w:val="none" w:sz="0" w:space="0" w:color="auto"/>
            <w:bottom w:val="none" w:sz="0" w:space="0" w:color="auto"/>
            <w:right w:val="none" w:sz="0" w:space="0" w:color="auto"/>
          </w:divBdr>
          <w:divsChild>
            <w:div w:id="797262782">
              <w:marLeft w:val="0"/>
              <w:marRight w:val="0"/>
              <w:marTop w:val="0"/>
              <w:marBottom w:val="0"/>
              <w:divBdr>
                <w:top w:val="none" w:sz="0" w:space="0" w:color="auto"/>
                <w:left w:val="none" w:sz="0" w:space="0" w:color="auto"/>
                <w:bottom w:val="none" w:sz="0" w:space="0" w:color="auto"/>
                <w:right w:val="none" w:sz="0" w:space="0" w:color="auto"/>
              </w:divBdr>
              <w:divsChild>
                <w:div w:id="16811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02724">
      <w:bodyDiv w:val="1"/>
      <w:marLeft w:val="0"/>
      <w:marRight w:val="0"/>
      <w:marTop w:val="0"/>
      <w:marBottom w:val="0"/>
      <w:divBdr>
        <w:top w:val="none" w:sz="0" w:space="0" w:color="auto"/>
        <w:left w:val="none" w:sz="0" w:space="0" w:color="auto"/>
        <w:bottom w:val="none" w:sz="0" w:space="0" w:color="auto"/>
        <w:right w:val="none" w:sz="0" w:space="0" w:color="auto"/>
      </w:divBdr>
      <w:divsChild>
        <w:div w:id="1156611765">
          <w:marLeft w:val="0"/>
          <w:marRight w:val="0"/>
          <w:marTop w:val="0"/>
          <w:marBottom w:val="0"/>
          <w:divBdr>
            <w:top w:val="none" w:sz="0" w:space="0" w:color="auto"/>
            <w:left w:val="none" w:sz="0" w:space="0" w:color="auto"/>
            <w:bottom w:val="none" w:sz="0" w:space="0" w:color="auto"/>
            <w:right w:val="none" w:sz="0" w:space="0" w:color="auto"/>
          </w:divBdr>
          <w:divsChild>
            <w:div w:id="3866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radiofrance.fr/personnes/rose-val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iofrance.fr/sujets/travail-devoir-memoire#taxonomy_body" TargetMode="External"/><Relationship Id="rId11" Type="http://schemas.openxmlformats.org/officeDocument/2006/relationships/theme" Target="theme/theme1.xml"/><Relationship Id="rId5" Type="http://schemas.openxmlformats.org/officeDocument/2006/relationships/hyperlink" Target="https://www.memoire13novembre.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1245</Words>
  <Characters>6848</Characters>
  <Application>Microsoft Office Word</Application>
  <DocSecurity>0</DocSecurity>
  <Lines>57</Lines>
  <Paragraphs>16</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Ma mémoire et celle des autres</vt:lpstr>
      <vt:lpstr>    DOC 2</vt:lpstr>
      <vt:lpstr>    https://www.radiofrance.fr/sujets/travail-devoir-memoire#taxonomy_body</vt:lpstr>
      <vt:lpstr>    Devoir de mémoire – Travail de mémoire</vt:lpstr>
      <vt:lpstr>    Les quatre lois mémorielles en France</vt:lpstr>
      <vt:lpstr>    Le travail de mémoire et le devoir de mémoire</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Welzer</dc:creator>
  <cp:keywords/>
  <dc:description/>
  <cp:lastModifiedBy>Karine Welzer</cp:lastModifiedBy>
  <cp:revision>2</cp:revision>
  <dcterms:created xsi:type="dcterms:W3CDTF">2024-11-25T19:40:00Z</dcterms:created>
  <dcterms:modified xsi:type="dcterms:W3CDTF">2024-11-25T19:40:00Z</dcterms:modified>
</cp:coreProperties>
</file>